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苏银理财恒源封闭债权289期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苏银理财恒源封闭债权289期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2026年04月22日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苏银理财恒源封闭债权289期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Z7003126000074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1,760,281,885.00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2027年05月18日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其中“苏银理财恒源封闭债权289期13月H”、“苏银理财恒源封闭债权289期13月L”份额无实际募集，份额未成立。上述份额未成立不影响“苏银理财恒源封闭债权289期”理财产品其他份额正常投资运作。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2026年04月23日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