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方正大标宋简体"/>
          <w:sz w:val="24"/>
          <w:szCs w:val="44"/>
        </w:rPr>
      </w:pPr>
      <w:bookmarkStart w:id="0" w:name="_Toc15611"/>
    </w:p>
    <w:bookmarkEnd w:id="0"/>
    <w:p>
      <w:pPr>
        <w:adjustRightInd w:val="0"/>
        <w:snapToGrid w:val="0"/>
        <w:spacing w:line="520" w:lineRule="exact"/>
        <w:jc w:val="center"/>
        <w:outlineLvl w:val="0"/>
        <w:rPr>
          <w:rFonts w:hint="eastAsia" w:ascii="方正大标宋简体" w:hAnsi="方正大标宋简体" w:eastAsia="方正大标宋简体" w:cs="方正大标宋简体"/>
          <w:b/>
          <w:bCs/>
          <w:color w:val="000000" w:themeColor="text1"/>
          <w:sz w:val="44"/>
          <w:szCs w:val="44"/>
          <w14:textFill>
            <w14:solidFill>
              <w14:schemeClr w14:val="tx1"/>
            </w14:solidFill>
          </w14:textFill>
        </w:rPr>
      </w:pPr>
      <w:r>
        <w:rPr>
          <w:rFonts w:hint="eastAsia" w:ascii="方正大标宋简体" w:hAnsi="方正大标宋简体" w:eastAsia="方正大标宋简体" w:cs="方正大标宋简体"/>
          <w:b/>
          <w:sz w:val="44"/>
          <w:szCs w:val="44"/>
        </w:rPr>
        <w:t>沭阳农商银行202</w:t>
      </w:r>
      <w:r>
        <w:rPr>
          <w:rFonts w:hint="eastAsia" w:ascii="方正大标宋简体" w:hAnsi="方正大标宋简体" w:eastAsia="方正大标宋简体" w:cs="方正大标宋简体"/>
          <w:b/>
          <w:sz w:val="44"/>
          <w:szCs w:val="44"/>
          <w:lang w:val="en-US" w:eastAsia="zh-CN"/>
        </w:rPr>
        <w:t>5</w:t>
      </w:r>
      <w:r>
        <w:rPr>
          <w:rFonts w:hint="eastAsia" w:ascii="方正大标宋简体" w:hAnsi="方正大标宋简体" w:eastAsia="方正大标宋简体" w:cs="方正大标宋简体"/>
          <w:b/>
          <w:sz w:val="44"/>
          <w:szCs w:val="44"/>
        </w:rPr>
        <w:t>年度信息披露报告</w:t>
      </w:r>
    </w:p>
    <w:p>
      <w:pPr>
        <w:adjustRightInd w:val="0"/>
        <w:snapToGrid w:val="0"/>
        <w:spacing w:line="520" w:lineRule="exact"/>
        <w:jc w:val="left"/>
        <w:rPr>
          <w:rFonts w:ascii="仿宋_GB2312" w:eastAsia="仿宋_GB2312"/>
          <w:color w:val="000000" w:themeColor="text1"/>
          <w:kern w:val="56"/>
          <w:sz w:val="32"/>
          <w:szCs w:val="32"/>
          <w14:textFill>
            <w14:solidFill>
              <w14:schemeClr w14:val="tx1"/>
            </w14:solidFill>
          </w14:textFill>
        </w:rPr>
      </w:pPr>
    </w:p>
    <w:p>
      <w:pPr>
        <w:spacing w:line="520" w:lineRule="exact"/>
        <w:jc w:val="center"/>
        <w:outlineLvl w:val="0"/>
        <w:rPr>
          <w:rFonts w:ascii="黑体" w:hAnsi="黑体" w:eastAsia="黑体"/>
          <w:b/>
          <w:bCs/>
          <w:color w:val="000000"/>
          <w:sz w:val="32"/>
          <w:szCs w:val="32"/>
        </w:rPr>
      </w:pPr>
      <w:bookmarkStart w:id="1" w:name="_Toc16026"/>
      <w:bookmarkStart w:id="2" w:name="_Toc7536"/>
      <w:r>
        <w:rPr>
          <w:rFonts w:hint="eastAsia" w:ascii="黑体" w:hAnsi="黑体" w:eastAsia="黑体"/>
          <w:b/>
          <w:bCs/>
          <w:color w:val="000000"/>
          <w:sz w:val="32"/>
          <w:szCs w:val="32"/>
        </w:rPr>
        <w:t>第一节  重要提示</w:t>
      </w:r>
      <w:bookmarkEnd w:id="1"/>
    </w:p>
    <w:p>
      <w:pPr>
        <w:pStyle w:val="8"/>
        <w:tabs>
          <w:tab w:val="left" w:pos="8640"/>
        </w:tabs>
        <w:adjustRightInd w:val="0"/>
        <w:snapToGrid w:val="0"/>
        <w:spacing w:line="520" w:lineRule="exact"/>
        <w:ind w:firstLine="640" w:firstLineChars="200"/>
        <w:rPr>
          <w:rFonts w:ascii="仿宋_GB2312" w:hAnsi="宋体" w:eastAsia="仿宋_GB2312"/>
          <w:color w:val="000000"/>
          <w:sz w:val="32"/>
          <w:szCs w:val="32"/>
        </w:rPr>
      </w:pPr>
    </w:p>
    <w:p>
      <w:pPr>
        <w:pStyle w:val="8"/>
        <w:tabs>
          <w:tab w:val="left" w:pos="8640"/>
        </w:tabs>
        <w:adjustRightInd w:val="0"/>
        <w:snapToGrid w:val="0"/>
        <w:spacing w:line="54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一、本行董事会及董事保证本报告所载资料不存在任何虚假记载、误导性陈述或者重大遗漏，并对其内容的真实性、准确性和完整性承担个别及连带责任。</w:t>
      </w:r>
    </w:p>
    <w:p>
      <w:pPr>
        <w:pStyle w:val="8"/>
        <w:tabs>
          <w:tab w:val="left" w:pos="8640"/>
        </w:tabs>
        <w:adjustRightInd w:val="0"/>
        <w:snapToGrid w:val="0"/>
        <w:spacing w:line="54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二、本行董事长、行长、分管财务副行长、财务负责人保证202</w:t>
      </w:r>
      <w:r>
        <w:rPr>
          <w:rFonts w:hint="eastAsia" w:ascii="仿宋_GB2312" w:hAnsi="宋体" w:eastAsia="仿宋_GB2312"/>
          <w:color w:val="000000"/>
          <w:sz w:val="32"/>
          <w:szCs w:val="32"/>
          <w:lang w:val="en-US" w:eastAsia="zh-CN"/>
        </w:rPr>
        <w:t>5</w:t>
      </w:r>
      <w:r>
        <w:rPr>
          <w:rFonts w:hint="eastAsia" w:ascii="仿宋_GB2312" w:hAnsi="宋体" w:eastAsia="仿宋_GB2312"/>
          <w:color w:val="000000"/>
          <w:sz w:val="32"/>
          <w:szCs w:val="32"/>
        </w:rPr>
        <w:t>年年报告中财务会计报告的真实、完整。　</w:t>
      </w:r>
    </w:p>
    <w:p>
      <w:pPr>
        <w:pStyle w:val="8"/>
        <w:spacing w:line="520" w:lineRule="exact"/>
        <w:ind w:firstLine="2875" w:firstLineChars="895"/>
        <w:outlineLvl w:val="0"/>
        <w:rPr>
          <w:rFonts w:ascii="黑体" w:hAnsi="黑体" w:eastAsia="黑体"/>
          <w:b/>
          <w:bCs/>
          <w:color w:val="000000"/>
          <w:sz w:val="32"/>
          <w:szCs w:val="32"/>
        </w:rPr>
      </w:pPr>
      <w:bookmarkStart w:id="3" w:name="_Toc5466"/>
      <w:r>
        <w:rPr>
          <w:rFonts w:hint="eastAsia" w:ascii="黑体" w:hAnsi="黑体" w:eastAsia="黑体"/>
          <w:b/>
          <w:bCs/>
          <w:color w:val="000000"/>
          <w:sz w:val="32"/>
          <w:szCs w:val="32"/>
        </w:rPr>
        <w:t>第二节  基本情况简介</w:t>
      </w:r>
      <w:bookmarkEnd w:id="3"/>
    </w:p>
    <w:p>
      <w:pPr>
        <w:adjustRightInd w:val="0"/>
        <w:snapToGrid w:val="0"/>
        <w:spacing w:line="520" w:lineRule="exact"/>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一、法定中文名称：江苏沭阳农村商业银行股份有限公司</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（简称：沭阳农商银行，下称：“本行”）</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注册资本：75224.2</w:t>
      </w:r>
      <w:r>
        <w:rPr>
          <w:rFonts w:hint="eastAsia" w:ascii="仿宋_GB2312" w:hAnsi="宋体" w:eastAsia="仿宋_GB2312"/>
          <w:color w:val="000000"/>
          <w:sz w:val="32"/>
          <w:szCs w:val="32"/>
          <w:lang w:val="en-US" w:eastAsia="zh-CN"/>
        </w:rPr>
        <w:t>275</w:t>
      </w:r>
      <w:r>
        <w:rPr>
          <w:rFonts w:hint="eastAsia" w:ascii="仿宋_GB2312" w:hAnsi="宋体" w:eastAsia="仿宋_GB2312"/>
          <w:color w:val="000000"/>
          <w:sz w:val="32"/>
          <w:szCs w:val="32"/>
        </w:rPr>
        <w:t>万元人民币</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成立时间：2011年12月19日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Times New Roman"/>
          <w:color w:val="000000"/>
          <w:sz w:val="32"/>
          <w:szCs w:val="32"/>
        </w:rPr>
      </w:pPr>
      <w:r>
        <w:rPr>
          <w:rFonts w:hint="eastAsia" w:ascii="仿宋_GB2312" w:hAnsi="宋体" w:eastAsia="仿宋_GB2312"/>
          <w:color w:val="000000"/>
          <w:sz w:val="32"/>
          <w:szCs w:val="32"/>
        </w:rPr>
        <w:t>经营范围：</w:t>
      </w:r>
      <w:r>
        <w:rPr>
          <w:rFonts w:hint="eastAsia" w:ascii="仿宋_GB2312" w:hAnsi="宋体" w:eastAsia="仿宋_GB2312" w:cs="Times New Roman"/>
          <w:color w:val="000000"/>
          <w:sz w:val="32"/>
          <w:szCs w:val="32"/>
        </w:rPr>
        <w:t>经</w:t>
      </w:r>
      <w:r>
        <w:rPr>
          <w:rFonts w:hint="eastAsia" w:ascii="仿宋_GB2312" w:hAnsi="宋体" w:eastAsia="仿宋_GB2312" w:cs="Times New Roman"/>
          <w:color w:val="000000"/>
          <w:sz w:val="32"/>
          <w:szCs w:val="32"/>
          <w:lang w:eastAsia="zh-CN"/>
        </w:rPr>
        <w:t>国家金融</w:t>
      </w:r>
      <w:r>
        <w:rPr>
          <w:rFonts w:hint="eastAsia" w:ascii="仿宋_GB2312" w:hAnsi="宋体" w:eastAsia="仿宋_GB2312" w:cs="Times New Roman"/>
          <w:color w:val="000000"/>
          <w:sz w:val="32"/>
          <w:szCs w:val="32"/>
        </w:rPr>
        <w:t>监督管理机构批准，并经注册登记，本行经营范围是：吸收</w:t>
      </w:r>
      <w:r>
        <w:rPr>
          <w:rFonts w:hint="eastAsia" w:ascii="仿宋_GB2312" w:hAnsi="宋体" w:eastAsia="仿宋_GB2312" w:cs="Times New Roman"/>
          <w:color w:val="000000"/>
          <w:sz w:val="32"/>
          <w:szCs w:val="32"/>
          <w:lang w:val="en-US" w:eastAsia="zh-CN"/>
        </w:rPr>
        <w:t>本外币公众</w:t>
      </w:r>
      <w:r>
        <w:rPr>
          <w:rFonts w:hint="eastAsia" w:ascii="仿宋_GB2312" w:hAnsi="宋体" w:eastAsia="仿宋_GB2312" w:cs="Times New Roman"/>
          <w:color w:val="000000"/>
          <w:sz w:val="32"/>
          <w:szCs w:val="32"/>
        </w:rPr>
        <w:t>存款;发放短期、中期和长期</w:t>
      </w:r>
      <w:r>
        <w:rPr>
          <w:rFonts w:hint="eastAsia" w:ascii="仿宋_GB2312" w:hAnsi="宋体" w:eastAsia="仿宋_GB2312" w:cs="Times New Roman"/>
          <w:color w:val="000000"/>
          <w:sz w:val="32"/>
          <w:szCs w:val="32"/>
          <w:lang w:val="en-US" w:eastAsia="zh-CN"/>
        </w:rPr>
        <w:t>本外</w:t>
      </w:r>
      <w:r>
        <w:rPr>
          <w:rFonts w:hint="eastAsia" w:ascii="仿宋_GB2312" w:hAnsi="宋体" w:eastAsia="仿宋_GB2312" w:cs="Times New Roman"/>
          <w:color w:val="000000"/>
          <w:sz w:val="32"/>
          <w:szCs w:val="32"/>
        </w:rPr>
        <w:t>币贷款；办理国内</w:t>
      </w:r>
      <w:r>
        <w:rPr>
          <w:rFonts w:hint="eastAsia" w:ascii="仿宋_GB2312" w:hAnsi="宋体" w:eastAsia="仿宋_GB2312" w:cs="Times New Roman"/>
          <w:color w:val="000000"/>
          <w:sz w:val="32"/>
          <w:szCs w:val="32"/>
          <w:lang w:val="en-US" w:eastAsia="zh-CN"/>
        </w:rPr>
        <w:t>外</w:t>
      </w:r>
      <w:r>
        <w:rPr>
          <w:rFonts w:hint="eastAsia" w:ascii="仿宋_GB2312" w:hAnsi="宋体" w:eastAsia="仿宋_GB2312" w:cs="Times New Roman"/>
          <w:color w:val="000000"/>
          <w:sz w:val="32"/>
          <w:szCs w:val="32"/>
        </w:rPr>
        <w:t>结算；办理票据承兑与贴现；发行金融债券；代理发行、代理兑付、承销政府债券；</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宋体" w:eastAsia="仿宋_GB2312" w:cs="Times New Roman"/>
          <w:color w:val="000000"/>
          <w:sz w:val="32"/>
          <w:szCs w:val="32"/>
        </w:rPr>
      </w:pPr>
      <w:r>
        <w:rPr>
          <w:rFonts w:hint="eastAsia" w:ascii="仿宋_GB2312" w:hAnsi="宋体" w:eastAsia="仿宋_GB2312" w:cs="Times New Roman"/>
          <w:color w:val="000000"/>
          <w:sz w:val="32"/>
          <w:szCs w:val="32"/>
        </w:rPr>
        <w:t>买卖政府债券、金融债券；从事同业</w:t>
      </w:r>
      <w:r>
        <w:rPr>
          <w:rFonts w:hint="eastAsia" w:ascii="仿宋_GB2312" w:hAnsi="宋体" w:eastAsia="仿宋_GB2312" w:cs="Times New Roman"/>
          <w:color w:val="000000"/>
          <w:sz w:val="32"/>
          <w:szCs w:val="32"/>
          <w:lang w:val="en-US" w:eastAsia="zh-CN"/>
        </w:rPr>
        <w:t>本外币</w:t>
      </w:r>
      <w:r>
        <w:rPr>
          <w:rFonts w:hint="eastAsia" w:ascii="仿宋_GB2312" w:hAnsi="宋体" w:eastAsia="仿宋_GB2312" w:cs="Times New Roman"/>
          <w:color w:val="000000"/>
          <w:sz w:val="32"/>
          <w:szCs w:val="32"/>
        </w:rPr>
        <w:t>拆借；从事</w:t>
      </w:r>
      <w:r>
        <w:rPr>
          <w:rFonts w:hint="eastAsia" w:ascii="仿宋_GB2312" w:hAnsi="宋体" w:eastAsia="仿宋_GB2312" w:cs="Times New Roman"/>
          <w:color w:val="000000"/>
          <w:sz w:val="32"/>
          <w:szCs w:val="32"/>
          <w:lang w:val="en-US" w:eastAsia="zh-CN"/>
        </w:rPr>
        <w:t>本外币</w:t>
      </w:r>
      <w:r>
        <w:rPr>
          <w:rFonts w:hint="eastAsia" w:ascii="仿宋_GB2312" w:hAnsi="宋体" w:eastAsia="仿宋_GB2312" w:cs="Times New Roman"/>
          <w:color w:val="000000"/>
          <w:sz w:val="32"/>
          <w:szCs w:val="32"/>
        </w:rPr>
        <w:t>银行卡业务；提供国内</w:t>
      </w:r>
      <w:r>
        <w:rPr>
          <w:rFonts w:hint="eastAsia" w:ascii="仿宋_GB2312" w:hAnsi="宋体" w:eastAsia="仿宋_GB2312" w:cs="Times New Roman"/>
          <w:color w:val="000000"/>
          <w:sz w:val="32"/>
          <w:szCs w:val="32"/>
          <w:lang w:val="en-US" w:eastAsia="zh-CN"/>
        </w:rPr>
        <w:t>外</w:t>
      </w:r>
      <w:r>
        <w:rPr>
          <w:rFonts w:hint="eastAsia" w:ascii="仿宋_GB2312" w:hAnsi="宋体" w:eastAsia="仿宋_GB2312" w:cs="Times New Roman"/>
          <w:color w:val="000000"/>
          <w:sz w:val="32"/>
          <w:szCs w:val="32"/>
        </w:rPr>
        <w:t>信用证服务及</w:t>
      </w:r>
      <w:r>
        <w:rPr>
          <w:rFonts w:hint="eastAsia" w:ascii="仿宋_GB2312" w:hAnsi="宋体" w:eastAsia="仿宋_GB2312" w:cs="Times New Roman"/>
          <w:color w:val="000000"/>
          <w:sz w:val="32"/>
          <w:szCs w:val="32"/>
          <w:lang w:val="en-US" w:eastAsia="zh-CN"/>
        </w:rPr>
        <w:t>本外币</w:t>
      </w:r>
      <w:r>
        <w:rPr>
          <w:rFonts w:hint="eastAsia" w:ascii="仿宋_GB2312" w:hAnsi="宋体" w:eastAsia="仿宋_GB2312" w:cs="Times New Roman"/>
          <w:color w:val="000000"/>
          <w:sz w:val="32"/>
          <w:szCs w:val="32"/>
        </w:rPr>
        <w:t>担保；代理收付款项及代理保险业务；</w:t>
      </w:r>
      <w:r>
        <w:rPr>
          <w:rFonts w:hint="eastAsia" w:ascii="仿宋_GB2312" w:hAnsi="宋体" w:eastAsia="仿宋_GB2312" w:cs="Times New Roman"/>
          <w:color w:val="000000"/>
          <w:sz w:val="32"/>
          <w:szCs w:val="32"/>
          <w:lang w:val="en-US" w:eastAsia="zh-CN"/>
        </w:rPr>
        <w:t>买卖、代理买卖外汇</w:t>
      </w:r>
      <w:r>
        <w:rPr>
          <w:rFonts w:hint="eastAsia" w:ascii="仿宋_GB2312" w:hAnsi="宋体" w:eastAsia="仿宋_GB2312" w:cs="Times New Roman"/>
          <w:color w:val="000000"/>
          <w:sz w:val="32"/>
          <w:szCs w:val="32"/>
          <w:lang w:eastAsia="zh-CN"/>
        </w:rPr>
        <w:t>；</w:t>
      </w:r>
      <w:r>
        <w:rPr>
          <w:rFonts w:hint="eastAsia" w:ascii="仿宋_GB2312" w:hAnsi="宋体" w:eastAsia="仿宋_GB2312" w:cs="Times New Roman"/>
          <w:color w:val="000000"/>
          <w:sz w:val="32"/>
          <w:szCs w:val="32"/>
        </w:rPr>
        <w:t>提供保管箱服务；经</w:t>
      </w:r>
      <w:r>
        <w:rPr>
          <w:rFonts w:hint="eastAsia" w:ascii="仿宋_GB2312" w:hAnsi="宋体" w:eastAsia="仿宋_GB2312" w:cs="Times New Roman"/>
          <w:color w:val="000000"/>
          <w:sz w:val="32"/>
          <w:szCs w:val="32"/>
          <w:lang w:eastAsia="zh-CN"/>
        </w:rPr>
        <w:t>国家金融</w:t>
      </w:r>
      <w:r>
        <w:rPr>
          <w:rFonts w:hint="eastAsia" w:ascii="仿宋_GB2312" w:hAnsi="宋体" w:eastAsia="仿宋_GB2312" w:cs="Times New Roman"/>
          <w:color w:val="000000"/>
          <w:sz w:val="32"/>
          <w:szCs w:val="32"/>
        </w:rPr>
        <w:t>监督管理机构批准的其他业务。</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 xml:space="preserve">二、法定代表人：陈雷 </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三、董事会秘书：王海春</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联系地址：江苏省沭阳县沭城镇台州南路与苏州东路交汇处，邮政编码：223600</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联系电话：0527-83663328</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传    真：0527-83663328</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四、注册地址：</w:t>
      </w:r>
      <w:r>
        <w:rPr>
          <w:rFonts w:hint="eastAsia" w:ascii="仿宋_GB2312" w:hAnsi="宋体" w:eastAsia="仿宋_GB2312"/>
          <w:color w:val="000000"/>
          <w:sz w:val="32"/>
          <w:szCs w:val="32"/>
        </w:rPr>
        <w:t>江苏省沭阳县沭城镇台州南路与苏州东路交汇处</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办公地址：江苏省沭阳县沭城镇台州南路与苏州东路交汇处</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邮政编码：223600</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联系电话：0527-83663028</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传    真：0527-83663028</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五、其他有关资料：</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cs="Times New Roman"/>
          <w:color w:val="000000"/>
          <w:sz w:val="32"/>
          <w:szCs w:val="32"/>
        </w:rPr>
      </w:pPr>
      <w:r>
        <w:rPr>
          <w:rFonts w:hint="eastAsia" w:ascii="仿宋_GB2312" w:hAnsi="宋体" w:eastAsia="仿宋_GB2312"/>
          <w:color w:val="000000"/>
          <w:sz w:val="32"/>
          <w:szCs w:val="32"/>
        </w:rPr>
        <w:t>注册登记地点：</w:t>
      </w:r>
      <w:r>
        <w:rPr>
          <w:rFonts w:hint="eastAsia" w:ascii="仿宋_GB2312" w:hAnsi="宋体" w:eastAsia="仿宋_GB2312" w:cs="Times New Roman"/>
          <w:color w:val="000000"/>
          <w:sz w:val="32"/>
          <w:szCs w:val="32"/>
        </w:rPr>
        <w:t>沭阳县市场监督管理局</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ascii="仿宋_GB2312" w:hAnsi="宋体" w:eastAsia="仿宋_GB2312"/>
          <w:b/>
          <w:bCs/>
          <w:color w:val="000000"/>
          <w:sz w:val="32"/>
          <w:szCs w:val="32"/>
        </w:rPr>
      </w:pPr>
      <w:r>
        <w:rPr>
          <w:rFonts w:hint="eastAsia" w:ascii="仿宋_GB2312" w:hAnsi="宋体" w:eastAsia="仿宋_GB2312"/>
          <w:color w:val="000000"/>
          <w:sz w:val="32"/>
          <w:szCs w:val="32"/>
        </w:rPr>
        <w:t>统一社会信用代码：91321322608519951E</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outlineLvl w:val="0"/>
        <w:rPr>
          <w:rFonts w:ascii="仿宋_GB2312" w:hAnsi="宋体" w:eastAsia="仿宋_GB2312"/>
          <w:color w:val="000000"/>
          <w:sz w:val="32"/>
          <w:szCs w:val="32"/>
          <w:highlight w:val="none"/>
        </w:rPr>
      </w:pPr>
      <w:r>
        <w:rPr>
          <w:rFonts w:hint="eastAsia" w:ascii="仿宋_GB2312" w:hAnsi="宋体" w:eastAsia="仿宋_GB2312"/>
          <w:color w:val="000000"/>
          <w:sz w:val="32"/>
          <w:szCs w:val="32"/>
        </w:rPr>
        <w:t>聘请的会计师事务所名称：</w:t>
      </w:r>
      <w:r>
        <w:rPr>
          <w:rFonts w:hint="eastAsia" w:ascii="仿宋_GB2312" w:hAnsi="华文楷体" w:eastAsia="仿宋_GB2312"/>
          <w:color w:val="000000"/>
          <w:sz w:val="32"/>
          <w:szCs w:val="32"/>
          <w:highlight w:val="none"/>
        </w:rPr>
        <w:t>江苏中正同仁会计师事务所有限公司</w:t>
      </w:r>
      <w:r>
        <w:rPr>
          <w:rFonts w:hint="eastAsia" w:ascii="仿宋_GB2312" w:hAnsi="宋体" w:eastAsia="仿宋_GB2312"/>
          <w:color w:val="000000"/>
          <w:sz w:val="32"/>
          <w:szCs w:val="32"/>
          <w:highlight w:val="none"/>
        </w:rPr>
        <w:t xml:space="preserve"> </w:t>
      </w:r>
    </w:p>
    <w:p>
      <w:pPr>
        <w:pStyle w:val="8"/>
        <w:spacing w:line="520" w:lineRule="exact"/>
        <w:jc w:val="both"/>
        <w:outlineLvl w:val="0"/>
        <w:rPr>
          <w:rFonts w:ascii="仿宋_GB2312" w:hAnsi="宋体" w:eastAsia="仿宋_GB2312"/>
          <w:b/>
          <w:bCs/>
          <w:color w:val="000000" w:themeColor="text1"/>
          <w:sz w:val="32"/>
          <w:szCs w:val="32"/>
          <w14:textFill>
            <w14:solidFill>
              <w14:schemeClr w14:val="tx1"/>
            </w14:solidFill>
          </w14:textFill>
        </w:rPr>
      </w:pPr>
    </w:p>
    <w:p>
      <w:pPr>
        <w:pStyle w:val="8"/>
        <w:spacing w:line="520" w:lineRule="exact"/>
        <w:ind w:firstLine="198"/>
        <w:jc w:val="center"/>
        <w:outlineLvl w:val="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第三节  主要会计数据和业务数据</w:t>
      </w:r>
      <w:bookmarkEnd w:id="2"/>
    </w:p>
    <w:p>
      <w:pPr>
        <w:pStyle w:val="8"/>
        <w:spacing w:line="520" w:lineRule="exact"/>
        <w:ind w:firstLine="643" w:firstLineChars="200"/>
        <w:outlineLvl w:val="0"/>
        <w:rPr>
          <w:rFonts w:ascii="仿宋_GB2312" w:hAnsi="宋体" w:eastAsia="仿宋_GB2312"/>
          <w:b/>
          <w:color w:val="000000"/>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sz w:val="32"/>
          <w:szCs w:val="32"/>
        </w:rPr>
      </w:pPr>
      <w:bookmarkStart w:id="4" w:name="_Toc17053"/>
      <w:r>
        <w:rPr>
          <w:rFonts w:hint="eastAsia" w:ascii="仿宋_GB2312" w:hAnsi="仿宋_GB2312" w:eastAsia="仿宋_GB2312" w:cs="仿宋_GB2312"/>
          <w:b/>
          <w:bCs/>
          <w:sz w:val="32"/>
          <w:szCs w:val="32"/>
        </w:rPr>
        <w:t>一、本报告期主要财务数据(简要）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本行财务会计报告包括财务情况说明、会计报表及会计报表附注组成。会计报表包括资产负债表、利润表、所有者权益变动表及其他附表组成。</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1、资产状况。</w:t>
      </w: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年末，本行资产总额为5637982.35 万元，比年初增加502670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万元，增幅</w:t>
      </w:r>
      <w:r>
        <w:rPr>
          <w:rFonts w:hint="eastAsia" w:ascii="仿宋_GB2312" w:hAnsi="仿宋_GB2312" w:eastAsia="仿宋_GB2312" w:cs="仿宋_GB2312"/>
          <w:sz w:val="32"/>
          <w:szCs w:val="32"/>
          <w:lang w:val="en-US" w:eastAsia="zh-CN"/>
        </w:rPr>
        <w:t>9.79</w:t>
      </w:r>
      <w:r>
        <w:rPr>
          <w:rFonts w:hint="eastAsia" w:ascii="仿宋_GB2312" w:hAnsi="仿宋_GB2312" w:eastAsia="仿宋_GB2312" w:cs="仿宋_GB2312"/>
          <w:sz w:val="32"/>
          <w:szCs w:val="32"/>
        </w:rPr>
        <w:t>%。其中：各项贷款3888345.63 万元（各项贷款余额减去贷款损失准备和应计收贷款利息），占6</w:t>
      </w:r>
      <w:r>
        <w:rPr>
          <w:rFonts w:hint="eastAsia" w:ascii="仿宋_GB2312" w:hAnsi="仿宋_GB2312" w:eastAsia="仿宋_GB2312" w:cs="仿宋_GB2312"/>
          <w:sz w:val="32"/>
          <w:szCs w:val="32"/>
          <w:lang w:val="en-US" w:eastAsia="zh-CN"/>
        </w:rPr>
        <w:t>8.97</w:t>
      </w:r>
      <w:r>
        <w:rPr>
          <w:rFonts w:hint="eastAsia" w:ascii="仿宋_GB2312" w:hAnsi="仿宋_GB2312" w:eastAsia="仿宋_GB2312" w:cs="仿宋_GB2312"/>
          <w:sz w:val="32"/>
          <w:szCs w:val="32"/>
        </w:rPr>
        <w:t>%，比年初增加298839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 万元，增幅为</w:t>
      </w:r>
      <w:r>
        <w:rPr>
          <w:rFonts w:hint="eastAsia" w:ascii="仿宋_GB2312" w:hAnsi="仿宋_GB2312" w:eastAsia="仿宋_GB2312" w:cs="仿宋_GB2312"/>
          <w:sz w:val="32"/>
          <w:szCs w:val="32"/>
          <w:lang w:val="en-US" w:eastAsia="zh-CN"/>
        </w:rPr>
        <w:t>8.33</w:t>
      </w:r>
      <w:r>
        <w:rPr>
          <w:rFonts w:hint="eastAsia" w:ascii="仿宋_GB2312" w:hAnsi="仿宋_GB2312" w:eastAsia="仿宋_GB2312" w:cs="仿宋_GB2312"/>
          <w:sz w:val="32"/>
          <w:szCs w:val="32"/>
        </w:rPr>
        <w:t>%；存放同业款项53587.15 万元，占比0.</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%；现金及存放中央银行款项245586.10 万元，占比4.</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%；其他债权投资171235.58 万元，占比</w:t>
      </w:r>
      <w:r>
        <w:rPr>
          <w:rFonts w:hint="eastAsia" w:ascii="仿宋_GB2312" w:hAnsi="仿宋_GB2312" w:eastAsia="仿宋_GB2312" w:cs="仿宋_GB2312"/>
          <w:sz w:val="32"/>
          <w:szCs w:val="32"/>
          <w:lang w:val="en-US" w:eastAsia="zh-CN"/>
        </w:rPr>
        <w:t>3.04</w:t>
      </w:r>
      <w:r>
        <w:rPr>
          <w:rFonts w:hint="eastAsia" w:ascii="仿宋_GB2312" w:hAnsi="仿宋_GB2312" w:eastAsia="仿宋_GB2312" w:cs="仿宋_GB2312"/>
          <w:sz w:val="32"/>
          <w:szCs w:val="32"/>
        </w:rPr>
        <w:t>%；在建工程2567.70 万元，占比0.05%；固定资产净值32332.25 万元，占比0.</w:t>
      </w:r>
      <w:r>
        <w:rPr>
          <w:rFonts w:hint="eastAsia" w:ascii="仿宋_GB2312" w:hAnsi="仿宋_GB2312" w:eastAsia="仿宋_GB2312" w:cs="仿宋_GB2312"/>
          <w:sz w:val="32"/>
          <w:szCs w:val="32"/>
          <w:lang w:val="en-US" w:eastAsia="zh-CN"/>
        </w:rPr>
        <w:t>57</w:t>
      </w:r>
      <w:r>
        <w:rPr>
          <w:rFonts w:hint="eastAsia" w:ascii="仿宋_GB2312" w:hAnsi="仿宋_GB2312" w:eastAsia="仿宋_GB2312" w:cs="仿宋_GB2312"/>
          <w:sz w:val="32"/>
          <w:szCs w:val="32"/>
        </w:rPr>
        <w:t>%；长期股权投资5130</w:t>
      </w:r>
      <w:r>
        <w:rPr>
          <w:rFonts w:hint="eastAsia" w:ascii="仿宋_GB2312" w:hAnsi="仿宋_GB2312" w:eastAsia="仿宋_GB2312" w:cs="仿宋_GB2312"/>
          <w:sz w:val="32"/>
          <w:szCs w:val="32"/>
          <w:lang w:val="en-US" w:eastAsia="zh-CN"/>
        </w:rPr>
        <w:t>6.7</w:t>
      </w:r>
      <w:r>
        <w:rPr>
          <w:rFonts w:hint="eastAsia" w:ascii="仿宋_GB2312" w:hAnsi="仿宋_GB2312" w:eastAsia="仿宋_GB2312" w:cs="仿宋_GB2312"/>
          <w:sz w:val="32"/>
          <w:szCs w:val="32"/>
        </w:rPr>
        <w:t>万元，占比</w:t>
      </w:r>
      <w:r>
        <w:rPr>
          <w:rFonts w:hint="eastAsia" w:ascii="仿宋_GB2312" w:hAnsi="仿宋_GB2312" w:eastAsia="仿宋_GB2312" w:cs="仿宋_GB2312"/>
          <w:sz w:val="32"/>
          <w:szCs w:val="32"/>
          <w:lang w:val="en-US" w:eastAsia="zh-CN"/>
        </w:rPr>
        <w:t>0.91</w:t>
      </w:r>
      <w:r>
        <w:rPr>
          <w:rFonts w:hint="eastAsia" w:ascii="仿宋_GB2312" w:hAnsi="仿宋_GB2312" w:eastAsia="仿宋_GB2312" w:cs="仿宋_GB2312"/>
          <w:sz w:val="32"/>
          <w:szCs w:val="32"/>
        </w:rPr>
        <w:t>%；债权投资1128254.62 万元，占比20.</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%；递延所得税资产47429.04 万元，占比0.</w:t>
      </w:r>
      <w:r>
        <w:rPr>
          <w:rFonts w:hint="eastAsia" w:ascii="仿宋_GB2312" w:hAnsi="仿宋_GB2312" w:eastAsia="仿宋_GB2312" w:cs="仿宋_GB2312"/>
          <w:sz w:val="32"/>
          <w:szCs w:val="32"/>
          <w:lang w:val="en-US" w:eastAsia="zh-CN"/>
        </w:rPr>
        <w:t>84</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2、负债状况。</w:t>
      </w: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年末，本行总负债余额5040761.71 万元，比年初增加443748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64万元，增幅</w:t>
      </w:r>
      <w:r>
        <w:rPr>
          <w:rFonts w:hint="eastAsia" w:ascii="仿宋_GB2312" w:hAnsi="仿宋_GB2312" w:eastAsia="仿宋_GB2312" w:cs="仿宋_GB2312"/>
          <w:sz w:val="32"/>
          <w:szCs w:val="32"/>
          <w:lang w:val="en-US" w:eastAsia="zh-CN"/>
        </w:rPr>
        <w:t>9.65</w:t>
      </w:r>
      <w:r>
        <w:rPr>
          <w:rFonts w:hint="eastAsia" w:ascii="仿宋_GB2312" w:hAnsi="仿宋_GB2312" w:eastAsia="仿宋_GB2312" w:cs="仿宋_GB2312"/>
          <w:sz w:val="32"/>
          <w:szCs w:val="32"/>
        </w:rPr>
        <w:t>%。其中：各项存款（含应付利息）4397891.89 万元，占比8</w:t>
      </w:r>
      <w:r>
        <w:rPr>
          <w:rFonts w:hint="eastAsia" w:ascii="仿宋_GB2312" w:hAnsi="仿宋_GB2312" w:eastAsia="仿宋_GB2312" w:cs="仿宋_GB2312"/>
          <w:sz w:val="32"/>
          <w:szCs w:val="32"/>
          <w:lang w:val="en-US" w:eastAsia="zh-CN"/>
        </w:rPr>
        <w:t>7.25</w:t>
      </w:r>
      <w:r>
        <w:rPr>
          <w:rFonts w:hint="eastAsia" w:ascii="仿宋_GB2312" w:hAnsi="仿宋_GB2312" w:eastAsia="仿宋_GB2312" w:cs="仿宋_GB2312"/>
          <w:sz w:val="32"/>
          <w:szCs w:val="32"/>
        </w:rPr>
        <w:t>%，比年初增加401926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86万元，增幅</w:t>
      </w:r>
      <w:r>
        <w:rPr>
          <w:rFonts w:hint="eastAsia" w:ascii="仿宋_GB2312" w:hAnsi="仿宋_GB2312" w:eastAsia="仿宋_GB2312" w:cs="仿宋_GB2312"/>
          <w:sz w:val="32"/>
          <w:szCs w:val="32"/>
          <w:lang w:val="en-US" w:eastAsia="zh-CN"/>
        </w:rPr>
        <w:t>10.06</w:t>
      </w:r>
      <w:r>
        <w:rPr>
          <w:rFonts w:hint="eastAsia" w:ascii="仿宋_GB2312" w:hAnsi="仿宋_GB2312" w:eastAsia="仿宋_GB2312" w:cs="仿宋_GB2312"/>
          <w:sz w:val="32"/>
          <w:szCs w:val="32"/>
        </w:rPr>
        <w:t>%；向中央银行借款380000万元，占比7.</w:t>
      </w:r>
      <w:r>
        <w:rPr>
          <w:rFonts w:hint="eastAsia" w:ascii="仿宋_GB2312" w:hAnsi="仿宋_GB2312" w:eastAsia="仿宋_GB2312" w:cs="仿宋_GB2312"/>
          <w:sz w:val="32"/>
          <w:szCs w:val="32"/>
          <w:lang w:val="en-US" w:eastAsia="zh-CN"/>
        </w:rPr>
        <w:t>54</w:t>
      </w:r>
      <w:r>
        <w:rPr>
          <w:rFonts w:hint="eastAsia" w:ascii="仿宋_GB2312" w:hAnsi="仿宋_GB2312" w:eastAsia="仿宋_GB2312" w:cs="仿宋_GB2312"/>
          <w:sz w:val="32"/>
          <w:szCs w:val="32"/>
        </w:rPr>
        <w:t>%；应交税费11679.89 万元，占比0.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%；其他应付款9991.60 万元，占比0.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%；卖出回购金融资产236029.59 万元，占比4.</w:t>
      </w:r>
      <w:r>
        <w:rPr>
          <w:rFonts w:hint="eastAsia" w:ascii="仿宋_GB2312" w:hAnsi="仿宋_GB2312" w:eastAsia="仿宋_GB2312" w:cs="仿宋_GB2312"/>
          <w:sz w:val="32"/>
          <w:szCs w:val="32"/>
          <w:lang w:val="en-US" w:eastAsia="zh-CN"/>
        </w:rPr>
        <w:t>68</w:t>
      </w:r>
      <w:r>
        <w:rPr>
          <w:rFonts w:hint="eastAsia" w:ascii="仿宋_GB2312" w:hAnsi="仿宋_GB2312" w:eastAsia="仿宋_GB2312" w:cs="仿宋_GB2312"/>
          <w:sz w:val="32"/>
          <w:szCs w:val="32"/>
        </w:rPr>
        <w:t>%；应付职工薪酬4448.27 万元，占比0.</w:t>
      </w:r>
      <w:r>
        <w:rPr>
          <w:rFonts w:hint="eastAsia" w:ascii="仿宋_GB2312" w:hAnsi="仿宋_GB2312" w:eastAsia="仿宋_GB2312" w:cs="仿宋_GB2312"/>
          <w:sz w:val="32"/>
          <w:szCs w:val="32"/>
          <w:lang w:val="en-US" w:eastAsia="zh-CN"/>
        </w:rPr>
        <w:t>09</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3、财务收支情况。</w:t>
      </w: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年末，本行各项财务收入202181.71 万元，同比减少</w:t>
      </w:r>
      <w:r>
        <w:rPr>
          <w:rFonts w:hint="eastAsia" w:ascii="仿宋_GB2312" w:hAnsi="仿宋_GB2312" w:eastAsia="仿宋_GB2312" w:cs="仿宋_GB2312"/>
          <w:sz w:val="32"/>
          <w:szCs w:val="32"/>
          <w:lang w:val="en-US" w:eastAsia="zh-CN"/>
        </w:rPr>
        <w:t>14145.49</w:t>
      </w:r>
      <w:r>
        <w:rPr>
          <w:rFonts w:hint="eastAsia" w:ascii="仿宋_GB2312" w:hAnsi="仿宋_GB2312" w:eastAsia="仿宋_GB2312" w:cs="仿宋_GB2312"/>
          <w:sz w:val="32"/>
          <w:szCs w:val="32"/>
        </w:rPr>
        <w:t>万元，降幅</w:t>
      </w:r>
      <w:r>
        <w:rPr>
          <w:rFonts w:hint="eastAsia" w:ascii="仿宋_GB2312" w:hAnsi="仿宋_GB2312" w:eastAsia="仿宋_GB2312" w:cs="仿宋_GB2312"/>
          <w:sz w:val="32"/>
          <w:szCs w:val="32"/>
          <w:lang w:val="en-US" w:eastAsia="zh-CN"/>
        </w:rPr>
        <w:t>6.54</w:t>
      </w:r>
      <w:r>
        <w:rPr>
          <w:rFonts w:hint="eastAsia" w:ascii="仿宋_GB2312" w:hAnsi="仿宋_GB2312" w:eastAsia="仿宋_GB2312" w:cs="仿宋_GB2312"/>
          <w:sz w:val="32"/>
          <w:szCs w:val="32"/>
        </w:rPr>
        <w:t>%；财务总支出148854.62 万元，同比</w:t>
      </w:r>
      <w:r>
        <w:rPr>
          <w:rFonts w:hint="eastAsia" w:ascii="仿宋_GB2312" w:hAnsi="仿宋_GB2312" w:eastAsia="仿宋_GB2312" w:cs="仿宋_GB2312"/>
          <w:sz w:val="32"/>
          <w:szCs w:val="32"/>
          <w:lang w:val="en-US" w:eastAsia="zh-CN"/>
        </w:rPr>
        <w:t>增加5056.71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增幅3.52</w:t>
      </w:r>
      <w:r>
        <w:rPr>
          <w:rFonts w:hint="eastAsia" w:ascii="仿宋_GB2312" w:hAnsi="仿宋_GB2312" w:eastAsia="仿宋_GB2312" w:cs="仿宋_GB2312"/>
          <w:sz w:val="32"/>
          <w:szCs w:val="32"/>
        </w:rPr>
        <w:t>%；实现利润总额53327.09 万元，同比减少19202.21 万元，降幅</w:t>
      </w:r>
      <w:r>
        <w:rPr>
          <w:rFonts w:hint="eastAsia" w:ascii="仿宋_GB2312" w:hAnsi="仿宋_GB2312" w:eastAsia="仿宋_GB2312" w:cs="仿宋_GB2312"/>
          <w:sz w:val="32"/>
          <w:szCs w:val="32"/>
          <w:lang w:val="en-US" w:eastAsia="zh-CN"/>
        </w:rPr>
        <w:t>26.48</w:t>
      </w:r>
      <w:r>
        <w:rPr>
          <w:rFonts w:hint="eastAsia" w:ascii="仿宋_GB2312" w:hAnsi="仿宋_GB2312" w:eastAsia="仿宋_GB2312" w:cs="仿宋_GB2312"/>
          <w:sz w:val="32"/>
          <w:szCs w:val="32"/>
        </w:rPr>
        <w:t>%；净利润61620.66 万元，同比增加</w:t>
      </w:r>
      <w:r>
        <w:rPr>
          <w:rFonts w:hint="eastAsia" w:ascii="仿宋_GB2312" w:hAnsi="仿宋_GB2312" w:eastAsia="仿宋_GB2312" w:cs="仿宋_GB2312"/>
          <w:sz w:val="32"/>
          <w:szCs w:val="32"/>
          <w:lang w:val="en-US" w:eastAsia="zh-CN"/>
        </w:rPr>
        <w:t>3393.64</w:t>
      </w:r>
      <w:r>
        <w:rPr>
          <w:rFonts w:hint="eastAsia" w:ascii="仿宋_GB2312" w:hAnsi="仿宋_GB2312" w:eastAsia="仿宋_GB2312" w:cs="仿宋_GB2312"/>
          <w:sz w:val="32"/>
          <w:szCs w:val="32"/>
        </w:rPr>
        <w:t>万元，增幅</w:t>
      </w:r>
      <w:r>
        <w:rPr>
          <w:rFonts w:hint="eastAsia" w:ascii="仿宋_GB2312" w:hAnsi="仿宋_GB2312" w:eastAsia="仿宋_GB2312" w:cs="仿宋_GB2312"/>
          <w:sz w:val="32"/>
          <w:szCs w:val="32"/>
          <w:lang w:val="en-US" w:eastAsia="zh-CN"/>
        </w:rPr>
        <w:t>5.83</w:t>
      </w:r>
      <w:r>
        <w:rPr>
          <w:rFonts w:hint="eastAsia" w:ascii="仿宋_GB2312" w:hAnsi="仿宋_GB2312" w:eastAsia="仿宋_GB2312" w:cs="仿宋_GB2312"/>
          <w:sz w:val="32"/>
          <w:szCs w:val="32"/>
        </w:rPr>
        <w:t>%；拨备前利润</w:t>
      </w:r>
      <w:r>
        <w:rPr>
          <w:rFonts w:hint="eastAsia" w:ascii="仿宋_GB2312" w:hAnsi="仿宋_GB2312" w:eastAsia="仿宋_GB2312" w:cs="仿宋_GB2312"/>
          <w:sz w:val="32"/>
          <w:szCs w:val="32"/>
          <w:lang w:val="en-US" w:eastAsia="zh-CN"/>
        </w:rPr>
        <w:t>92327.96</w:t>
      </w:r>
      <w:r>
        <w:rPr>
          <w:rFonts w:hint="eastAsia" w:ascii="仿宋_GB2312" w:hAnsi="仿宋_GB2312" w:eastAsia="仿宋_GB2312" w:cs="仿宋_GB2312"/>
          <w:sz w:val="32"/>
          <w:szCs w:val="32"/>
        </w:rPr>
        <w:t>万元，同比</w:t>
      </w:r>
      <w:r>
        <w:rPr>
          <w:rFonts w:hint="eastAsia" w:ascii="仿宋_GB2312" w:hAnsi="仿宋_GB2312" w:eastAsia="仿宋_GB2312" w:cs="仿宋_GB2312"/>
          <w:sz w:val="32"/>
          <w:szCs w:val="32"/>
          <w:lang w:val="en-US" w:eastAsia="zh-CN"/>
        </w:rPr>
        <w:t>减少12652.41</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（二）会计报表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1、资产负债表：见附件。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2、利润表：见附件。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3、现金流量表：见附件。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4、所有者权益变动表：见附件。</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（三）财务报表附注：见附件</w:t>
      </w:r>
    </w:p>
    <w:p>
      <w:pPr>
        <w:snapToGrid w:val="0"/>
        <w:spacing w:line="560" w:lineRule="exact"/>
        <w:jc w:val="center"/>
        <w:outlineLvl w:val="0"/>
        <w:rPr>
          <w:rFonts w:ascii="仿宋_GB2312" w:hAnsi="宋体" w:eastAsia="仿宋_GB2312"/>
          <w:b/>
          <w:bCs/>
          <w:color w:val="000000" w:themeColor="text1"/>
          <w:sz w:val="32"/>
          <w:szCs w:val="32"/>
          <w14:textFill>
            <w14:solidFill>
              <w14:schemeClr w14:val="tx1"/>
            </w14:solidFill>
          </w14:textFill>
        </w:rPr>
      </w:pPr>
    </w:p>
    <w:p>
      <w:pPr>
        <w:snapToGrid w:val="0"/>
        <w:spacing w:line="560" w:lineRule="exact"/>
        <w:jc w:val="center"/>
        <w:outlineLvl w:val="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第四节  股本变化及股东情况</w:t>
      </w:r>
      <w:bookmarkEnd w:id="4"/>
    </w:p>
    <w:p>
      <w:pPr>
        <w:adjustRightInd w:val="0"/>
        <w:snapToGrid w:val="0"/>
        <w:spacing w:line="560" w:lineRule="exact"/>
        <w:ind w:firstLine="643" w:firstLineChars="200"/>
        <w:rPr>
          <w:rFonts w:ascii="仿宋_GB2312" w:hAnsi="宋体" w:eastAsia="仿宋_GB2312" w:cs="Arial"/>
          <w:b/>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hint="eastAsia" w:ascii="仿宋_GB2312" w:hAnsi="仿宋_GB2312" w:eastAsia="仿宋_GB2312" w:cs="仿宋_GB2312"/>
          <w:b/>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一、报告期内股本总额、股权结构及变动情况</w:t>
      </w:r>
    </w:p>
    <w:p>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b w:val="0"/>
          <w:bCs w:val="0"/>
          <w:color w:val="000000"/>
          <w:kern w:val="2"/>
          <w:sz w:val="32"/>
          <w:szCs w:val="32"/>
          <w:highlight w:val="none"/>
          <w:lang w:val="en-US" w:eastAsia="zh-CN" w:bidi="ar-SA"/>
        </w:rPr>
        <w:t>(一)截至年末，本行共有股东总数1062个、股权总数752242275股。报告期内，共发生股权转让36笔，其中自然人股转让36笔、法人股转让0笔，累计变动股份10512315股，单笔额度最大转让为1851675股，占总股份的0.24%。</w:t>
      </w:r>
    </w:p>
    <w:p>
      <w:pPr>
        <w:keepNext w:val="0"/>
        <w:keepLines w:val="0"/>
        <w:pageBreakBefore w:val="0"/>
        <w:widowControl w:val="0"/>
        <w:kinsoku/>
        <w:wordWrap/>
        <w:overflowPunct/>
        <w:topLinePunct w:val="0"/>
        <w:autoSpaceDE/>
        <w:autoSpaceDN/>
        <w:bidi w:val="0"/>
        <w:spacing w:line="540" w:lineRule="exact"/>
        <w:ind w:firstLine="643" w:firstLineChars="200"/>
        <w:textAlignment w:val="auto"/>
        <w:rPr>
          <w:rFonts w:ascii="仿宋_GB2312" w:hAnsi="宋体" w:eastAsia="仿宋_GB2312" w:cs="Arial"/>
          <w:b/>
          <w:color w:val="000000" w:themeColor="text1"/>
          <w:sz w:val="32"/>
          <w:szCs w:val="32"/>
          <w:highlight w:val="none"/>
          <w14:textFill>
            <w14:solidFill>
              <w14:schemeClr w14:val="tx1"/>
            </w14:solidFill>
          </w14:textFill>
        </w:rPr>
      </w:pPr>
      <w:r>
        <w:rPr>
          <w:rFonts w:hint="eastAsia" w:ascii="仿宋_GB2312" w:hAnsi="宋体" w:eastAsia="仿宋_GB2312" w:cs="Arial"/>
          <w:b/>
          <w:color w:val="000000" w:themeColor="text1"/>
          <w:sz w:val="32"/>
          <w:szCs w:val="32"/>
          <w:highlight w:val="none"/>
          <w14:textFill>
            <w14:solidFill>
              <w14:schemeClr w14:val="tx1"/>
            </w14:solidFill>
          </w14:textFill>
        </w:rPr>
        <w:t>(二)本行前十大股东为：</w:t>
      </w:r>
      <w:r>
        <w:rPr>
          <w:rFonts w:hint="eastAsia" w:ascii="仿宋_GB2312" w:eastAsia="仿宋_GB2312"/>
          <w:b/>
          <w:color w:val="000000" w:themeColor="text1"/>
          <w:sz w:val="32"/>
          <w:szCs w:val="32"/>
          <w:highlight w:val="none"/>
          <w14:textFill>
            <w14:solidFill>
              <w14:schemeClr w14:val="tx1"/>
            </w14:solidFill>
          </w14:textFill>
        </w:rPr>
        <w:t xml:space="preserve"> </w:t>
      </w:r>
      <w:r>
        <w:rPr>
          <w:rFonts w:hint="eastAsia" w:ascii="仿宋_GB2312" w:eastAsia="仿宋_GB2312"/>
          <w:color w:val="000000" w:themeColor="text1"/>
          <w:sz w:val="32"/>
          <w:szCs w:val="32"/>
          <w:highlight w:val="none"/>
          <w14:textFill>
            <w14:solidFill>
              <w14:schemeClr w14:val="tx1"/>
            </w14:solidFill>
          </w14:textFill>
        </w:rPr>
        <w:t xml:space="preserve">           </w:t>
      </w:r>
      <w:r>
        <w:rPr>
          <w:rFonts w:hint="eastAsia" w:ascii="仿宋_GB2312" w:hAnsi="宋体" w:eastAsia="仿宋_GB2312" w:cs="Arial"/>
          <w:b/>
          <w:color w:val="000000" w:themeColor="text1"/>
          <w:sz w:val="32"/>
          <w:szCs w:val="32"/>
          <w:highlight w:val="none"/>
          <w14:textFill>
            <w14:solidFill>
              <w14:schemeClr w14:val="tx1"/>
            </w14:solidFill>
          </w14:textFill>
        </w:rPr>
        <w:t>（万股</w:t>
      </w:r>
      <w:r>
        <w:rPr>
          <w:rFonts w:ascii="仿宋_GB2312" w:hAnsi="宋体" w:eastAsia="仿宋_GB2312" w:cs="Arial"/>
          <w:b/>
          <w:color w:val="000000" w:themeColor="text1"/>
          <w:sz w:val="32"/>
          <w:szCs w:val="32"/>
          <w:highlight w:val="none"/>
          <w14:textFill>
            <w14:solidFill>
              <w14:schemeClr w14:val="tx1"/>
            </w14:solidFill>
          </w14:textFill>
        </w:rPr>
        <w:t>、%）</w:t>
      </w:r>
    </w:p>
    <w:tbl>
      <w:tblPr>
        <w:tblStyle w:val="16"/>
        <w:tblW w:w="49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2603"/>
        <w:gridCol w:w="2731"/>
        <w:gridCol w:w="912"/>
        <w:gridCol w:w="104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90" w:type="pct"/>
            <w:noWrap/>
            <w:vAlign w:val="center"/>
          </w:tcPr>
          <w:p>
            <w:pPr>
              <w:widowControl/>
              <w:spacing w:line="24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序号</w:t>
            </w:r>
          </w:p>
        </w:tc>
        <w:tc>
          <w:tcPr>
            <w:tcW w:w="1544" w:type="pct"/>
            <w:vAlign w:val="center"/>
          </w:tcPr>
          <w:p>
            <w:pPr>
              <w:widowControl/>
              <w:spacing w:line="24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股东名称</w:t>
            </w:r>
          </w:p>
        </w:tc>
        <w:tc>
          <w:tcPr>
            <w:tcW w:w="1620" w:type="pct"/>
            <w:vAlign w:val="center"/>
          </w:tcPr>
          <w:p>
            <w:pPr>
              <w:widowControl/>
              <w:spacing w:line="24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住     所</w:t>
            </w:r>
          </w:p>
        </w:tc>
        <w:tc>
          <w:tcPr>
            <w:tcW w:w="541" w:type="pct"/>
            <w:vAlign w:val="center"/>
          </w:tcPr>
          <w:p>
            <w:pPr>
              <w:widowControl/>
              <w:spacing w:line="24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法人代表</w:t>
            </w:r>
          </w:p>
        </w:tc>
        <w:tc>
          <w:tcPr>
            <w:tcW w:w="617" w:type="pct"/>
            <w:vAlign w:val="center"/>
          </w:tcPr>
          <w:p>
            <w:pPr>
              <w:widowControl/>
              <w:spacing w:line="24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持股股份</w:t>
            </w:r>
          </w:p>
        </w:tc>
        <w:tc>
          <w:tcPr>
            <w:tcW w:w="385" w:type="pct"/>
            <w:vAlign w:val="center"/>
          </w:tcPr>
          <w:p>
            <w:pPr>
              <w:widowControl/>
              <w:spacing w:line="24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0" w:type="pct"/>
            <w:noWrap/>
            <w:vAlign w:val="center"/>
          </w:tcPr>
          <w:p>
            <w:pPr>
              <w:widowControl/>
              <w:spacing w:line="300" w:lineRule="exact"/>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w:t>
            </w:r>
          </w:p>
        </w:tc>
        <w:tc>
          <w:tcPr>
            <w:tcW w:w="1544" w:type="pct"/>
            <w:noWrap/>
            <w:vAlign w:val="center"/>
          </w:tcPr>
          <w:p>
            <w:pPr>
              <w:widowControl/>
              <w:jc w:val="lef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沭阳金源资产经营有限公司</w:t>
            </w:r>
          </w:p>
        </w:tc>
        <w:tc>
          <w:tcPr>
            <w:tcW w:w="1620" w:type="pct"/>
            <w:noWrap/>
            <w:vAlign w:val="center"/>
          </w:tcPr>
          <w:p>
            <w:pPr>
              <w:widowControl/>
              <w:jc w:val="lef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沭阳县苏州东路（县财政局院内）</w:t>
            </w:r>
          </w:p>
        </w:tc>
        <w:tc>
          <w:tcPr>
            <w:tcW w:w="541" w:type="pct"/>
            <w:noWrap/>
            <w:vAlign w:val="center"/>
          </w:tcPr>
          <w:p>
            <w:pPr>
              <w:widowControl/>
              <w:jc w:val="center"/>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张克</w:t>
            </w:r>
          </w:p>
        </w:tc>
        <w:tc>
          <w:tcPr>
            <w:tcW w:w="617" w:type="pct"/>
            <w:noWrap/>
            <w:vAlign w:val="center"/>
          </w:tcPr>
          <w:p>
            <w:pPr>
              <w:widowControl/>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7435</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 xml:space="preserve">6326 </w:t>
            </w:r>
          </w:p>
        </w:tc>
        <w:tc>
          <w:tcPr>
            <w:tcW w:w="385" w:type="pct"/>
            <w:noWrap/>
            <w:vAlign w:val="center"/>
          </w:tcPr>
          <w:p>
            <w:pPr>
              <w:widowControl/>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0" w:type="pct"/>
            <w:noWrap/>
            <w:vAlign w:val="center"/>
          </w:tcPr>
          <w:p>
            <w:pPr>
              <w:widowControl/>
              <w:spacing w:line="300" w:lineRule="exact"/>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w:t>
            </w:r>
          </w:p>
        </w:tc>
        <w:tc>
          <w:tcPr>
            <w:tcW w:w="1544"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江苏邦源纺织有限公司</w:t>
            </w:r>
          </w:p>
        </w:tc>
        <w:tc>
          <w:tcPr>
            <w:tcW w:w="1620"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沭阳县义乌路东侧</w:t>
            </w:r>
          </w:p>
        </w:tc>
        <w:tc>
          <w:tcPr>
            <w:tcW w:w="541"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何金生</w:t>
            </w:r>
          </w:p>
        </w:tc>
        <w:tc>
          <w:tcPr>
            <w:tcW w:w="617"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7435</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 xml:space="preserve">6326 </w:t>
            </w:r>
          </w:p>
        </w:tc>
        <w:tc>
          <w:tcPr>
            <w:tcW w:w="385"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0" w:type="pct"/>
            <w:noWrap/>
            <w:vAlign w:val="center"/>
          </w:tcPr>
          <w:p>
            <w:pPr>
              <w:widowControl/>
              <w:spacing w:line="300" w:lineRule="exact"/>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w:t>
            </w:r>
          </w:p>
        </w:tc>
        <w:tc>
          <w:tcPr>
            <w:tcW w:w="1544"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沭阳金诚资产经营有限公司</w:t>
            </w:r>
          </w:p>
        </w:tc>
        <w:tc>
          <w:tcPr>
            <w:tcW w:w="1620"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沭阳县苏州东路与台州路交叉处</w:t>
            </w:r>
          </w:p>
        </w:tc>
        <w:tc>
          <w:tcPr>
            <w:tcW w:w="541" w:type="pct"/>
            <w:noWrap/>
            <w:vAlign w:val="center"/>
          </w:tcPr>
          <w:p>
            <w:pPr>
              <w:jc w:val="center"/>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胡广超</w:t>
            </w:r>
          </w:p>
        </w:tc>
        <w:tc>
          <w:tcPr>
            <w:tcW w:w="617"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7184</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 xml:space="preserve">4991 </w:t>
            </w:r>
          </w:p>
        </w:tc>
        <w:tc>
          <w:tcPr>
            <w:tcW w:w="385"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0" w:type="pct"/>
            <w:noWrap/>
            <w:vAlign w:val="center"/>
          </w:tcPr>
          <w:p>
            <w:pPr>
              <w:widowControl/>
              <w:spacing w:line="300" w:lineRule="exact"/>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4</w:t>
            </w:r>
          </w:p>
        </w:tc>
        <w:tc>
          <w:tcPr>
            <w:tcW w:w="1544"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江苏宝娜斯针织有限公司</w:t>
            </w:r>
          </w:p>
        </w:tc>
        <w:tc>
          <w:tcPr>
            <w:tcW w:w="1620"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沭阳县义乌路东侧(宁波路北侧）</w:t>
            </w:r>
          </w:p>
        </w:tc>
        <w:tc>
          <w:tcPr>
            <w:tcW w:w="541"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黄祖</w:t>
            </w:r>
            <w:r>
              <w:rPr>
                <w:color w:val="000000" w:themeColor="text1"/>
                <w:sz w:val="18"/>
                <w:szCs w:val="18"/>
                <w:highlight w:val="none"/>
                <w14:textFill>
                  <w14:solidFill>
                    <w14:schemeClr w14:val="tx1"/>
                  </w14:solidFill>
                </w14:textFill>
              </w:rPr>
              <w:t>群</w:t>
            </w:r>
          </w:p>
        </w:tc>
        <w:tc>
          <w:tcPr>
            <w:tcW w:w="617"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6365</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1329</w:t>
            </w:r>
          </w:p>
        </w:tc>
        <w:tc>
          <w:tcPr>
            <w:tcW w:w="385"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trPr>
        <w:tc>
          <w:tcPr>
            <w:tcW w:w="290" w:type="pct"/>
            <w:noWrap/>
            <w:vAlign w:val="center"/>
          </w:tcPr>
          <w:p>
            <w:pPr>
              <w:widowControl/>
              <w:spacing w:line="300" w:lineRule="exact"/>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5</w:t>
            </w:r>
          </w:p>
        </w:tc>
        <w:tc>
          <w:tcPr>
            <w:tcW w:w="1544"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江苏福庆木业有限公司</w:t>
            </w:r>
          </w:p>
        </w:tc>
        <w:tc>
          <w:tcPr>
            <w:tcW w:w="1620"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沭阳县青伊湖镇滥洪村（滥洪大转盘北侧300米处）</w:t>
            </w:r>
          </w:p>
        </w:tc>
        <w:tc>
          <w:tcPr>
            <w:tcW w:w="541"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陈长富</w:t>
            </w:r>
          </w:p>
        </w:tc>
        <w:tc>
          <w:tcPr>
            <w:tcW w:w="617" w:type="pct"/>
            <w:noWrap/>
            <w:vAlign w:val="center"/>
          </w:tcPr>
          <w:p>
            <w:pPr>
              <w:jc w:val="center"/>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3032.1179</w:t>
            </w:r>
          </w:p>
        </w:tc>
        <w:tc>
          <w:tcPr>
            <w:tcW w:w="385" w:type="pct"/>
            <w:noWrap/>
            <w:vAlign w:val="center"/>
          </w:tcPr>
          <w:p>
            <w:pPr>
              <w:jc w:val="center"/>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0" w:type="pct"/>
            <w:noWrap/>
            <w:vAlign w:val="center"/>
          </w:tcPr>
          <w:p>
            <w:pPr>
              <w:widowControl/>
              <w:spacing w:line="300" w:lineRule="exact"/>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6</w:t>
            </w:r>
          </w:p>
        </w:tc>
        <w:tc>
          <w:tcPr>
            <w:tcW w:w="1544"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沭阳县大有文化发展有限公司</w:t>
            </w:r>
          </w:p>
        </w:tc>
        <w:tc>
          <w:tcPr>
            <w:tcW w:w="1620"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沭阳县公园路14号楼107室</w:t>
            </w:r>
          </w:p>
        </w:tc>
        <w:tc>
          <w:tcPr>
            <w:tcW w:w="541"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尚振六</w:t>
            </w:r>
          </w:p>
        </w:tc>
        <w:tc>
          <w:tcPr>
            <w:tcW w:w="617"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2777</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 xml:space="preserve">5126 </w:t>
            </w:r>
          </w:p>
        </w:tc>
        <w:tc>
          <w:tcPr>
            <w:tcW w:w="385"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0" w:type="pct"/>
            <w:noWrap/>
            <w:vAlign w:val="center"/>
          </w:tcPr>
          <w:p>
            <w:pPr>
              <w:widowControl/>
              <w:spacing w:line="300" w:lineRule="exact"/>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7</w:t>
            </w:r>
          </w:p>
        </w:tc>
        <w:tc>
          <w:tcPr>
            <w:tcW w:w="1544"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江苏沂淮水泥有限公司</w:t>
            </w:r>
          </w:p>
        </w:tc>
        <w:tc>
          <w:tcPr>
            <w:tcW w:w="1620"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沭阳县深圳西路淮河头</w:t>
            </w:r>
          </w:p>
        </w:tc>
        <w:tc>
          <w:tcPr>
            <w:tcW w:w="541"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陈宜兵</w:t>
            </w:r>
          </w:p>
        </w:tc>
        <w:tc>
          <w:tcPr>
            <w:tcW w:w="617"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1961</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 xml:space="preserve">0653 </w:t>
            </w:r>
          </w:p>
        </w:tc>
        <w:tc>
          <w:tcPr>
            <w:tcW w:w="385"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0" w:type="pct"/>
            <w:noWrap/>
            <w:vAlign w:val="center"/>
          </w:tcPr>
          <w:p>
            <w:pPr>
              <w:widowControl/>
              <w:spacing w:line="300" w:lineRule="exact"/>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8</w:t>
            </w:r>
          </w:p>
        </w:tc>
        <w:tc>
          <w:tcPr>
            <w:tcW w:w="1544"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沭阳环宇工贸有限公司</w:t>
            </w:r>
          </w:p>
        </w:tc>
        <w:tc>
          <w:tcPr>
            <w:tcW w:w="1620"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沭阳县经济开发区</w:t>
            </w:r>
          </w:p>
        </w:tc>
        <w:tc>
          <w:tcPr>
            <w:tcW w:w="541"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徐晋</w:t>
            </w:r>
          </w:p>
        </w:tc>
        <w:tc>
          <w:tcPr>
            <w:tcW w:w="617"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1851</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 xml:space="preserve">6750 </w:t>
            </w:r>
          </w:p>
        </w:tc>
        <w:tc>
          <w:tcPr>
            <w:tcW w:w="385"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0" w:type="pct"/>
            <w:noWrap/>
            <w:vAlign w:val="center"/>
          </w:tcPr>
          <w:p>
            <w:pPr>
              <w:widowControl/>
              <w:spacing w:line="300" w:lineRule="exact"/>
              <w:jc w:val="center"/>
              <w:rPr>
                <w:rFonts w:hint="eastAsia"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9</w:t>
            </w:r>
          </w:p>
        </w:tc>
        <w:tc>
          <w:tcPr>
            <w:tcW w:w="1544" w:type="pct"/>
            <w:noWrap/>
            <w:vAlign w:val="center"/>
          </w:tcPr>
          <w:p>
            <w:pPr>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color w:val="000000" w:themeColor="text1"/>
                <w:sz w:val="18"/>
                <w:szCs w:val="18"/>
                <w:highlight w:val="none"/>
                <w14:textFill>
                  <w14:solidFill>
                    <w14:schemeClr w14:val="tx1"/>
                  </w14:solidFill>
                </w14:textFill>
              </w:rPr>
              <w:t>江苏月源纤维科技有限公司</w:t>
            </w:r>
          </w:p>
        </w:tc>
        <w:tc>
          <w:tcPr>
            <w:tcW w:w="1620" w:type="pct"/>
            <w:noWrap/>
            <w:vAlign w:val="center"/>
          </w:tcPr>
          <w:p>
            <w:pPr>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沭阳县经济开发区台北路</w:t>
            </w:r>
          </w:p>
        </w:tc>
        <w:tc>
          <w:tcPr>
            <w:tcW w:w="541" w:type="pct"/>
            <w:noWrap/>
            <w:vAlign w:val="center"/>
          </w:tcPr>
          <w:p>
            <w:pPr>
              <w:jc w:val="center"/>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color w:val="000000" w:themeColor="text1"/>
                <w:sz w:val="18"/>
                <w:szCs w:val="18"/>
                <w:highlight w:val="none"/>
                <w14:textFill>
                  <w14:solidFill>
                    <w14:schemeClr w14:val="tx1"/>
                  </w14:solidFill>
                </w14:textFill>
              </w:rPr>
              <w:t>黄亿芳</w:t>
            </w:r>
          </w:p>
        </w:tc>
        <w:tc>
          <w:tcPr>
            <w:tcW w:w="617" w:type="pct"/>
            <w:noWrap/>
            <w:vAlign w:val="center"/>
          </w:tcPr>
          <w:p>
            <w:pPr>
              <w:jc w:val="center"/>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color w:val="000000" w:themeColor="text1"/>
                <w:sz w:val="18"/>
                <w:szCs w:val="18"/>
                <w:highlight w:val="none"/>
                <w14:textFill>
                  <w14:solidFill>
                    <w14:schemeClr w14:val="tx1"/>
                  </w14:solidFill>
                </w14:textFill>
              </w:rPr>
              <w:t>1735</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9453</w:t>
            </w:r>
          </w:p>
        </w:tc>
        <w:tc>
          <w:tcPr>
            <w:tcW w:w="385" w:type="pct"/>
            <w:noWrap/>
            <w:vAlign w:val="center"/>
          </w:tcPr>
          <w:p>
            <w:pPr>
              <w:jc w:val="center"/>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color w:val="000000" w:themeColor="text1"/>
                <w:sz w:val="18"/>
                <w:szCs w:val="18"/>
                <w:highlight w:val="none"/>
                <w14:textFill>
                  <w14:solidFill>
                    <w14:schemeClr w14:val="tx1"/>
                  </w14:solidFill>
                </w14:textFill>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0" w:type="pct"/>
            <w:noWrap/>
            <w:vAlign w:val="center"/>
          </w:tcPr>
          <w:p>
            <w:pPr>
              <w:widowControl/>
              <w:spacing w:line="300" w:lineRule="exact"/>
              <w:jc w:val="center"/>
              <w:rPr>
                <w:rFonts w:hint="default" w:eastAsia="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10</w:t>
            </w:r>
          </w:p>
        </w:tc>
        <w:tc>
          <w:tcPr>
            <w:tcW w:w="1544"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沭阳合壹企业管理咨询有限公司</w:t>
            </w:r>
          </w:p>
        </w:tc>
        <w:tc>
          <w:tcPr>
            <w:tcW w:w="1620" w:type="pct"/>
            <w:noWrap/>
            <w:vAlign w:val="center"/>
          </w:tcPr>
          <w:p>
            <w:pP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沭阳县台北路东侧、邦源路北侧</w:t>
            </w:r>
          </w:p>
        </w:tc>
        <w:tc>
          <w:tcPr>
            <w:tcW w:w="541"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金万鑫</w:t>
            </w:r>
          </w:p>
        </w:tc>
        <w:tc>
          <w:tcPr>
            <w:tcW w:w="617"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1688</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9163</w:t>
            </w:r>
          </w:p>
        </w:tc>
        <w:tc>
          <w:tcPr>
            <w:tcW w:w="385" w:type="pct"/>
            <w:noWrap/>
            <w:vAlign w:val="center"/>
          </w:tcPr>
          <w:p>
            <w:pPr>
              <w:jc w:val="center"/>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2.25</w:t>
            </w:r>
          </w:p>
        </w:tc>
      </w:tr>
    </w:tbl>
    <w:p>
      <w:pPr>
        <w:spacing w:line="540" w:lineRule="exact"/>
        <w:ind w:firstLine="643" w:firstLineChars="200"/>
        <w:rPr>
          <w:rFonts w:ascii="仿宋_GB2312" w:hAnsi="宋体" w:eastAsia="仿宋_GB2312" w:cs="Arial"/>
          <w:b/>
          <w:color w:val="000000" w:themeColor="text1"/>
          <w:sz w:val="32"/>
          <w:szCs w:val="32"/>
          <w:highlight w:val="none"/>
          <w14:textFill>
            <w14:solidFill>
              <w14:schemeClr w14:val="tx1"/>
            </w14:solidFill>
          </w14:textFill>
        </w:rPr>
      </w:pPr>
      <w:r>
        <w:rPr>
          <w:rFonts w:hint="eastAsia" w:ascii="仿宋_GB2312" w:hAnsi="宋体" w:eastAsia="仿宋_GB2312" w:cs="Arial"/>
          <w:b/>
          <w:color w:val="000000" w:themeColor="text1"/>
          <w:sz w:val="32"/>
          <w:szCs w:val="32"/>
          <w:highlight w:val="none"/>
          <w14:textFill>
            <w14:solidFill>
              <w14:schemeClr w14:val="tx1"/>
            </w14:solidFill>
          </w14:textFill>
        </w:rPr>
        <w:t>（</w:t>
      </w:r>
      <w:r>
        <w:rPr>
          <w:rFonts w:ascii="仿宋_GB2312" w:hAnsi="宋体" w:eastAsia="仿宋_GB2312" w:cs="Arial"/>
          <w:b/>
          <w:color w:val="000000" w:themeColor="text1"/>
          <w:sz w:val="32"/>
          <w:szCs w:val="32"/>
          <w:highlight w:val="none"/>
          <w14:textFill>
            <w14:solidFill>
              <w14:schemeClr w14:val="tx1"/>
            </w14:solidFill>
          </w14:textFill>
        </w:rPr>
        <w:t>三）</w:t>
      </w:r>
      <w:r>
        <w:rPr>
          <w:rFonts w:hint="eastAsia" w:ascii="仿宋_GB2312" w:hAnsi="宋体" w:eastAsia="仿宋_GB2312" w:cs="Arial"/>
          <w:b/>
          <w:color w:val="000000" w:themeColor="text1"/>
          <w:sz w:val="32"/>
          <w:szCs w:val="32"/>
          <w:highlight w:val="none"/>
          <w14:textFill>
            <w14:solidFill>
              <w14:schemeClr w14:val="tx1"/>
            </w14:solidFill>
          </w14:textFill>
        </w:rPr>
        <w:t>本行主要股东情况：       （万股</w:t>
      </w:r>
      <w:r>
        <w:rPr>
          <w:rFonts w:ascii="仿宋_GB2312" w:hAnsi="宋体" w:eastAsia="仿宋_GB2312" w:cs="Arial"/>
          <w:b/>
          <w:color w:val="000000" w:themeColor="text1"/>
          <w:sz w:val="32"/>
          <w:szCs w:val="32"/>
          <w:highlight w:val="none"/>
          <w14:textFill>
            <w14:solidFill>
              <w14:schemeClr w14:val="tx1"/>
            </w14:solidFill>
          </w14:textFill>
        </w:rPr>
        <w:t>、%）</w:t>
      </w:r>
    </w:p>
    <w:tbl>
      <w:tblPr>
        <w:tblStyle w:val="16"/>
        <w:tblW w:w="92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835"/>
        <w:gridCol w:w="1418"/>
        <w:gridCol w:w="1417"/>
        <w:gridCol w:w="1701"/>
        <w:gridCol w:w="11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6" w:hRule="atLeast"/>
        </w:trPr>
        <w:tc>
          <w:tcPr>
            <w:tcW w:w="675" w:type="dxa"/>
            <w:vAlign w:val="center"/>
          </w:tcPr>
          <w:p>
            <w:pPr>
              <w:spacing w:line="30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序号</w:t>
            </w:r>
          </w:p>
        </w:tc>
        <w:tc>
          <w:tcPr>
            <w:tcW w:w="2835" w:type="dxa"/>
            <w:vAlign w:val="center"/>
          </w:tcPr>
          <w:p>
            <w:pPr>
              <w:spacing w:line="30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主要股东名称</w:t>
            </w:r>
          </w:p>
        </w:tc>
        <w:tc>
          <w:tcPr>
            <w:tcW w:w="1418" w:type="dxa"/>
            <w:vAlign w:val="center"/>
          </w:tcPr>
          <w:p>
            <w:pPr>
              <w:spacing w:line="30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持股金额</w:t>
            </w:r>
          </w:p>
        </w:tc>
        <w:tc>
          <w:tcPr>
            <w:tcW w:w="1417" w:type="dxa"/>
            <w:vAlign w:val="center"/>
          </w:tcPr>
          <w:p>
            <w:pPr>
              <w:spacing w:line="30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持股比例</w:t>
            </w:r>
          </w:p>
        </w:tc>
        <w:tc>
          <w:tcPr>
            <w:tcW w:w="1701" w:type="dxa"/>
            <w:vAlign w:val="center"/>
          </w:tcPr>
          <w:p>
            <w:pPr>
              <w:spacing w:line="30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股权出</w:t>
            </w:r>
          </w:p>
          <w:p>
            <w:pPr>
              <w:spacing w:line="30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质数额</w:t>
            </w:r>
          </w:p>
        </w:tc>
        <w:tc>
          <w:tcPr>
            <w:tcW w:w="1161" w:type="dxa"/>
            <w:vAlign w:val="center"/>
          </w:tcPr>
          <w:p>
            <w:pPr>
              <w:spacing w:line="30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出质股</w:t>
            </w:r>
          </w:p>
          <w:p>
            <w:pPr>
              <w:spacing w:line="300" w:lineRule="exact"/>
              <w:jc w:val="center"/>
              <w:rPr>
                <w:rFonts w:ascii="宋体" w:hAnsi="宋体" w:cs="宋体"/>
                <w:b/>
                <w:color w:val="000000" w:themeColor="text1"/>
                <w:kern w:val="0"/>
                <w:sz w:val="18"/>
                <w:szCs w:val="18"/>
                <w:highlight w:val="none"/>
                <w14:textFill>
                  <w14:solidFill>
                    <w14:schemeClr w14:val="tx1"/>
                  </w14:solidFill>
                </w14:textFill>
              </w:rPr>
            </w:pPr>
            <w:r>
              <w:rPr>
                <w:rFonts w:hint="eastAsia" w:ascii="宋体" w:hAnsi="宋体" w:cs="宋体"/>
                <w:b/>
                <w:color w:val="000000" w:themeColor="text1"/>
                <w:kern w:val="0"/>
                <w:sz w:val="18"/>
                <w:szCs w:val="18"/>
                <w:highlight w:val="none"/>
                <w14:textFill>
                  <w14:solidFill>
                    <w14:schemeClr w14:val="tx1"/>
                  </w14:solidFill>
                </w14:textFill>
              </w:rPr>
              <w:t>权占比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 w:hRule="atLeast"/>
        </w:trPr>
        <w:tc>
          <w:tcPr>
            <w:tcW w:w="67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w:t>
            </w:r>
          </w:p>
        </w:tc>
        <w:tc>
          <w:tcPr>
            <w:tcW w:w="283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沭阳金源资产经营有限公司</w:t>
            </w:r>
          </w:p>
        </w:tc>
        <w:tc>
          <w:tcPr>
            <w:tcW w:w="1418" w:type="dxa"/>
            <w:vAlign w:val="center"/>
          </w:tcPr>
          <w:p>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7435</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 xml:space="preserve">6326 </w:t>
            </w:r>
          </w:p>
        </w:tc>
        <w:tc>
          <w:tcPr>
            <w:tcW w:w="1417" w:type="dxa"/>
            <w:vAlign w:val="center"/>
          </w:tcPr>
          <w:p>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9.88</w:t>
            </w:r>
          </w:p>
        </w:tc>
        <w:tc>
          <w:tcPr>
            <w:tcW w:w="1701" w:type="dxa"/>
            <w:vAlign w:val="center"/>
          </w:tcPr>
          <w:p>
            <w:pPr>
              <w:widowControl/>
              <w:jc w:val="center"/>
              <w:rPr>
                <w:rFonts w:ascii="宋体" w:hAnsi="宋体" w:cs="宋体"/>
                <w:color w:val="000000" w:themeColor="text1"/>
                <w:kern w:val="0"/>
                <w:sz w:val="18"/>
                <w:szCs w:val="18"/>
                <w:highlight w:val="none"/>
                <w14:textFill>
                  <w14:solidFill>
                    <w14:schemeClr w14:val="tx1"/>
                  </w14:solidFill>
                </w14:textFill>
              </w:rPr>
            </w:pPr>
          </w:p>
        </w:tc>
        <w:tc>
          <w:tcPr>
            <w:tcW w:w="1161" w:type="dxa"/>
            <w:vAlign w:val="center"/>
          </w:tcPr>
          <w:p>
            <w:pPr>
              <w:jc w:val="center"/>
              <w:rPr>
                <w:rFonts w:hint="eastAsia" w:ascii="宋体" w:hAnsi="宋体" w:eastAsia="宋体" w:cs="宋体"/>
                <w:color w:val="000000" w:themeColor="text1"/>
                <w:kern w:val="0"/>
                <w:sz w:val="18"/>
                <w:szCs w:val="18"/>
                <w:highlight w:val="none"/>
                <w:lang w:eastAsia="zh-CN"/>
                <w14:textFill>
                  <w14:solidFill>
                    <w14:schemeClr w14:val="tx1"/>
                  </w14:solidFill>
                </w14:textFill>
              </w:rPr>
            </w:pPr>
            <w:r>
              <w:rPr>
                <w:rFonts w:hint="eastAsia" w:ascii="宋体" w:hAnsi="宋体" w:cs="宋体"/>
                <w:color w:val="000000" w:themeColor="text1"/>
                <w:kern w:val="0"/>
                <w:sz w:val="18"/>
                <w:szCs w:val="18"/>
                <w:highlight w:val="none"/>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trPr>
        <w:tc>
          <w:tcPr>
            <w:tcW w:w="67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2</w:t>
            </w:r>
          </w:p>
        </w:tc>
        <w:tc>
          <w:tcPr>
            <w:tcW w:w="283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江苏邦源纺织有限公司</w:t>
            </w:r>
          </w:p>
        </w:tc>
        <w:tc>
          <w:tcPr>
            <w:tcW w:w="1418"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7435</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 xml:space="preserve">6326 </w:t>
            </w:r>
          </w:p>
        </w:tc>
        <w:tc>
          <w:tcPr>
            <w:tcW w:w="1417"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9.88</w:t>
            </w:r>
          </w:p>
        </w:tc>
        <w:tc>
          <w:tcPr>
            <w:tcW w:w="1701"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ascii="宋体" w:hAnsi="宋体" w:cs="宋体"/>
                <w:color w:val="000000" w:themeColor="text1"/>
                <w:kern w:val="0"/>
                <w:sz w:val="18"/>
                <w:szCs w:val="18"/>
                <w:highlight w:val="none"/>
                <w14:textFill>
                  <w14:solidFill>
                    <w14:schemeClr w14:val="tx1"/>
                  </w14:solidFill>
                </w14:textFill>
              </w:rPr>
              <w:t>6</w:t>
            </w:r>
            <w:r>
              <w:rPr>
                <w:rFonts w:hint="eastAsia" w:ascii="宋体" w:hAnsi="宋体" w:cs="宋体"/>
                <w:color w:val="000000" w:themeColor="text1"/>
                <w:kern w:val="0"/>
                <w:sz w:val="18"/>
                <w:szCs w:val="18"/>
                <w:highlight w:val="none"/>
                <w14:textFill>
                  <w14:solidFill>
                    <w14:schemeClr w14:val="tx1"/>
                  </w14:solidFill>
                </w14:textFill>
              </w:rPr>
              <w:t>936.2244</w:t>
            </w:r>
          </w:p>
        </w:tc>
        <w:tc>
          <w:tcPr>
            <w:tcW w:w="1161" w:type="dxa"/>
            <w:vAlign w:val="center"/>
          </w:tcPr>
          <w:p>
            <w:pPr>
              <w:jc w:val="center"/>
              <w:rPr>
                <w:rFonts w:hint="default" w:ascii="宋体" w:hAnsi="宋体" w:eastAsia="宋体" w:cs="宋体"/>
                <w:color w:val="000000" w:themeColor="text1"/>
                <w:kern w:val="0"/>
                <w:sz w:val="18"/>
                <w:szCs w:val="18"/>
                <w:highlight w:val="none"/>
                <w:lang w:val="en-US" w:eastAsia="zh-CN"/>
                <w14:textFill>
                  <w14:solidFill>
                    <w14:schemeClr w14:val="tx1"/>
                  </w14:solidFill>
                </w14:textFill>
              </w:rPr>
            </w:pPr>
            <w:r>
              <w:rPr>
                <w:rFonts w:hint="eastAsia" w:ascii="宋体" w:hAnsi="宋体" w:cs="宋体"/>
                <w:color w:val="000000" w:themeColor="text1"/>
                <w:kern w:val="0"/>
                <w:sz w:val="18"/>
                <w:szCs w:val="18"/>
                <w:highlight w:val="none"/>
                <w:lang w:val="en-US" w:eastAsia="zh-CN"/>
                <w14:textFill>
                  <w14:solidFill>
                    <w14:schemeClr w14:val="tx1"/>
                  </w14:solidFill>
                </w14:textFill>
              </w:rPr>
              <w:t>93.28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trPr>
        <w:tc>
          <w:tcPr>
            <w:tcW w:w="675" w:type="dxa"/>
            <w:vAlign w:val="center"/>
          </w:tcPr>
          <w:p>
            <w:pPr>
              <w:spacing w:line="320" w:lineRule="exact"/>
              <w:jc w:val="center"/>
              <w:rPr>
                <w:rFonts w:hint="eastAsia" w:ascii="宋体" w:hAnsi="宋体" w:eastAsia="宋体" w:cs="宋体"/>
                <w:color w:val="000000" w:themeColor="text1"/>
                <w:kern w:val="0"/>
                <w:sz w:val="18"/>
                <w:szCs w:val="18"/>
                <w:highlight w:val="none"/>
                <w:lang w:eastAsia="zh-CN"/>
                <w14:textFill>
                  <w14:solidFill>
                    <w14:schemeClr w14:val="tx1"/>
                  </w14:solidFill>
                </w14:textFill>
              </w:rPr>
            </w:pPr>
            <w:r>
              <w:rPr>
                <w:rFonts w:hint="eastAsia" w:ascii="宋体" w:hAnsi="宋体" w:cs="宋体"/>
                <w:color w:val="000000" w:themeColor="text1"/>
                <w:kern w:val="0"/>
                <w:sz w:val="18"/>
                <w:szCs w:val="18"/>
                <w:highlight w:val="none"/>
                <w:lang w:val="en-US" w:eastAsia="zh-CN"/>
                <w14:textFill>
                  <w14:solidFill>
                    <w14:schemeClr w14:val="tx1"/>
                  </w14:solidFill>
                </w14:textFill>
              </w:rPr>
              <w:t>3</w:t>
            </w:r>
          </w:p>
        </w:tc>
        <w:tc>
          <w:tcPr>
            <w:tcW w:w="283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沭阳金诚资产经营有限公司</w:t>
            </w:r>
          </w:p>
        </w:tc>
        <w:tc>
          <w:tcPr>
            <w:tcW w:w="1418"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7184</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4991</w:t>
            </w:r>
          </w:p>
        </w:tc>
        <w:tc>
          <w:tcPr>
            <w:tcW w:w="1417"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ascii="宋体" w:hAnsi="宋体" w:cs="宋体"/>
                <w:color w:val="000000" w:themeColor="text1"/>
                <w:kern w:val="0"/>
                <w:sz w:val="18"/>
                <w:szCs w:val="18"/>
                <w:highlight w:val="none"/>
                <w14:textFill>
                  <w14:solidFill>
                    <w14:schemeClr w14:val="tx1"/>
                  </w14:solidFill>
                </w14:textFill>
              </w:rPr>
              <w:t>9.55</w:t>
            </w:r>
          </w:p>
        </w:tc>
        <w:tc>
          <w:tcPr>
            <w:tcW w:w="1701"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1161"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 w:hRule="atLeast"/>
        </w:trPr>
        <w:tc>
          <w:tcPr>
            <w:tcW w:w="675" w:type="dxa"/>
            <w:vAlign w:val="center"/>
          </w:tcPr>
          <w:p>
            <w:pPr>
              <w:spacing w:line="320" w:lineRule="exact"/>
              <w:jc w:val="center"/>
              <w:rPr>
                <w:rFonts w:hint="eastAsia" w:ascii="宋体" w:hAnsi="宋体" w:eastAsia="宋体" w:cs="宋体"/>
                <w:color w:val="000000" w:themeColor="text1"/>
                <w:kern w:val="0"/>
                <w:sz w:val="18"/>
                <w:szCs w:val="18"/>
                <w:highlight w:val="none"/>
                <w:lang w:eastAsia="zh-CN"/>
                <w14:textFill>
                  <w14:solidFill>
                    <w14:schemeClr w14:val="tx1"/>
                  </w14:solidFill>
                </w14:textFill>
              </w:rPr>
            </w:pPr>
            <w:r>
              <w:rPr>
                <w:rFonts w:hint="eastAsia" w:ascii="宋体" w:hAnsi="宋体" w:cs="宋体"/>
                <w:color w:val="000000" w:themeColor="text1"/>
                <w:kern w:val="0"/>
                <w:sz w:val="18"/>
                <w:szCs w:val="18"/>
                <w:highlight w:val="none"/>
                <w:lang w:val="en-US" w:eastAsia="zh-CN"/>
                <w14:textFill>
                  <w14:solidFill>
                    <w14:schemeClr w14:val="tx1"/>
                  </w14:solidFill>
                </w14:textFill>
              </w:rPr>
              <w:t>4</w:t>
            </w:r>
          </w:p>
        </w:tc>
        <w:tc>
          <w:tcPr>
            <w:tcW w:w="283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江苏宝娜斯针织有限公司</w:t>
            </w:r>
          </w:p>
        </w:tc>
        <w:tc>
          <w:tcPr>
            <w:tcW w:w="1418"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6365</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1329</w:t>
            </w:r>
          </w:p>
        </w:tc>
        <w:tc>
          <w:tcPr>
            <w:tcW w:w="1417"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ascii="宋体" w:hAnsi="宋体" w:cs="宋体"/>
                <w:color w:val="000000" w:themeColor="text1"/>
                <w:kern w:val="0"/>
                <w:sz w:val="18"/>
                <w:szCs w:val="18"/>
                <w:highlight w:val="none"/>
                <w14:textFill>
                  <w14:solidFill>
                    <w14:schemeClr w14:val="tx1"/>
                  </w14:solidFill>
                </w14:textFill>
              </w:rPr>
              <w:t>8.46</w:t>
            </w:r>
          </w:p>
        </w:tc>
        <w:tc>
          <w:tcPr>
            <w:tcW w:w="1701" w:type="dxa"/>
            <w:vAlign w:val="center"/>
          </w:tcPr>
          <w:p>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1161"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trPr>
        <w:tc>
          <w:tcPr>
            <w:tcW w:w="67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5</w:t>
            </w:r>
          </w:p>
        </w:tc>
        <w:tc>
          <w:tcPr>
            <w:tcW w:w="283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江苏福庆木业有限公司</w:t>
            </w:r>
          </w:p>
        </w:tc>
        <w:tc>
          <w:tcPr>
            <w:tcW w:w="1418"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3032.1179</w:t>
            </w:r>
          </w:p>
        </w:tc>
        <w:tc>
          <w:tcPr>
            <w:tcW w:w="1417" w:type="dxa"/>
            <w:vAlign w:val="center"/>
          </w:tcPr>
          <w:p>
            <w:pPr>
              <w:jc w:val="center"/>
              <w:rPr>
                <w:rFonts w:hint="default" w:ascii="宋体" w:hAnsi="宋体" w:eastAsia="宋体" w:cs="宋体"/>
                <w:color w:val="000000" w:themeColor="text1"/>
                <w:kern w:val="0"/>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4.03</w:t>
            </w:r>
          </w:p>
        </w:tc>
        <w:tc>
          <w:tcPr>
            <w:tcW w:w="1701"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ascii="宋体" w:hAnsi="宋体" w:cs="宋体"/>
                <w:color w:val="000000" w:themeColor="text1"/>
                <w:kern w:val="0"/>
                <w:sz w:val="18"/>
                <w:szCs w:val="18"/>
                <w:highlight w:val="none"/>
                <w14:textFill>
                  <w14:solidFill>
                    <w14:schemeClr w14:val="tx1"/>
                  </w14:solidFill>
                </w14:textFill>
              </w:rPr>
              <w:t>0</w:t>
            </w:r>
          </w:p>
        </w:tc>
        <w:tc>
          <w:tcPr>
            <w:tcW w:w="1161"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1" w:hRule="atLeast"/>
        </w:trPr>
        <w:tc>
          <w:tcPr>
            <w:tcW w:w="67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6</w:t>
            </w:r>
          </w:p>
        </w:tc>
        <w:tc>
          <w:tcPr>
            <w:tcW w:w="2835" w:type="dxa"/>
            <w:vAlign w:val="center"/>
          </w:tcPr>
          <w:p>
            <w:pPr>
              <w:spacing w:line="320" w:lineRule="exact"/>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江苏沂淮水泥有限公司</w:t>
            </w:r>
          </w:p>
        </w:tc>
        <w:tc>
          <w:tcPr>
            <w:tcW w:w="1418" w:type="dxa"/>
            <w:vAlign w:val="center"/>
          </w:tcPr>
          <w:p>
            <w:pPr>
              <w:widowControl/>
              <w:jc w:val="center"/>
              <w:rPr>
                <w:rFonts w:ascii="宋体" w:hAnsi="宋体" w:cs="宋体"/>
                <w:color w:val="000000" w:themeColor="text1"/>
                <w:kern w:val="0"/>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1961</w:t>
            </w:r>
            <w:r>
              <w:rPr>
                <w:rFonts w:hint="eastAsia"/>
                <w:color w:val="000000" w:themeColor="text1"/>
                <w:sz w:val="18"/>
                <w:szCs w:val="18"/>
                <w:highlight w:val="none"/>
                <w:lang w:val="en-US"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 xml:space="preserve">0653 </w:t>
            </w:r>
          </w:p>
        </w:tc>
        <w:tc>
          <w:tcPr>
            <w:tcW w:w="1417"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ascii="宋体" w:hAnsi="宋体" w:cs="宋体"/>
                <w:color w:val="000000" w:themeColor="text1"/>
                <w:kern w:val="0"/>
                <w:sz w:val="18"/>
                <w:szCs w:val="18"/>
                <w:highlight w:val="none"/>
                <w14:textFill>
                  <w14:solidFill>
                    <w14:schemeClr w14:val="tx1"/>
                  </w14:solidFill>
                </w14:textFill>
              </w:rPr>
              <w:t>2.61</w:t>
            </w:r>
          </w:p>
        </w:tc>
        <w:tc>
          <w:tcPr>
            <w:tcW w:w="1701"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1161" w:type="dxa"/>
            <w:vAlign w:val="center"/>
          </w:tcPr>
          <w:p>
            <w:pPr>
              <w:jc w:val="center"/>
              <w:rPr>
                <w:rFonts w:ascii="宋体" w:hAnsi="宋体" w:cs="宋体"/>
                <w:color w:val="000000" w:themeColor="text1"/>
                <w:kern w:val="0"/>
                <w:sz w:val="18"/>
                <w:szCs w:val="18"/>
                <w:highlight w:val="none"/>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trPr>
        <w:tc>
          <w:tcPr>
            <w:tcW w:w="675" w:type="dxa"/>
            <w:vAlign w:val="center"/>
          </w:tcPr>
          <w:p>
            <w:pPr>
              <w:spacing w:line="320" w:lineRule="exact"/>
              <w:jc w:val="center"/>
              <w:rPr>
                <w:rFonts w:hint="eastAsia" w:ascii="宋体" w:hAnsi="宋体" w:eastAsia="宋体" w:cs="宋体"/>
                <w:color w:val="000000" w:themeColor="text1"/>
                <w:kern w:val="0"/>
                <w:sz w:val="18"/>
                <w:szCs w:val="18"/>
                <w:highlight w:val="none"/>
                <w:lang w:eastAsia="zh-CN"/>
                <w14:textFill>
                  <w14:solidFill>
                    <w14:schemeClr w14:val="tx1"/>
                  </w14:solidFill>
                </w14:textFill>
              </w:rPr>
            </w:pPr>
            <w:r>
              <w:rPr>
                <w:rFonts w:hint="eastAsia" w:ascii="宋体" w:hAnsi="宋体" w:cs="宋体"/>
                <w:color w:val="000000" w:themeColor="text1"/>
                <w:kern w:val="0"/>
                <w:sz w:val="18"/>
                <w:szCs w:val="18"/>
                <w:highlight w:val="none"/>
                <w:lang w:val="en-US" w:eastAsia="zh-CN"/>
                <w14:textFill>
                  <w14:solidFill>
                    <w14:schemeClr w14:val="tx1"/>
                  </w14:solidFill>
                </w14:textFill>
              </w:rPr>
              <w:t>7</w:t>
            </w:r>
          </w:p>
        </w:tc>
        <w:tc>
          <w:tcPr>
            <w:tcW w:w="2835" w:type="dxa"/>
            <w:vAlign w:val="center"/>
          </w:tcPr>
          <w:p>
            <w:pPr>
              <w:spacing w:line="320" w:lineRule="exact"/>
              <w:jc w:val="center"/>
              <w:rPr>
                <w:rFonts w:ascii="宋体" w:hAnsi="宋体" w:eastAsia="宋体" w:cs="宋体"/>
                <w:color w:val="000000" w:themeColor="text1"/>
                <w:kern w:val="0"/>
                <w:sz w:val="18"/>
                <w:szCs w:val="18"/>
                <w:highlight w:val="none"/>
                <w:lang w:val="en-US" w:eastAsia="zh-CN" w:bidi="ar-SA"/>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沭阳行宇企业管理有限公司</w:t>
            </w:r>
          </w:p>
        </w:tc>
        <w:tc>
          <w:tcPr>
            <w:tcW w:w="1418" w:type="dxa"/>
            <w:vAlign w:val="center"/>
          </w:tcPr>
          <w:p>
            <w:pPr>
              <w:widowControl/>
              <w:jc w:val="center"/>
              <w:rPr>
                <w:rFonts w:ascii="宋体" w:hAnsi="宋体" w:eastAsia="宋体" w:cs="宋体"/>
                <w:color w:val="000000" w:themeColor="text1"/>
                <w:kern w:val="0"/>
                <w:sz w:val="18"/>
                <w:szCs w:val="18"/>
                <w:highlight w:val="none"/>
                <w:lang w:val="en-US" w:eastAsia="zh-CN" w:bidi="ar-SA"/>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1294</w:t>
            </w:r>
            <w:r>
              <w:rPr>
                <w:rFonts w:hint="eastAsia" w:ascii="宋体" w:hAnsi="宋体" w:cs="宋体"/>
                <w:color w:val="000000" w:themeColor="text1"/>
                <w:kern w:val="0"/>
                <w:sz w:val="18"/>
                <w:szCs w:val="18"/>
                <w:highlight w:val="none"/>
                <w:lang w:val="en-US" w:eastAsia="zh-CN"/>
                <w14:textFill>
                  <w14:solidFill>
                    <w14:schemeClr w14:val="tx1"/>
                  </w14:solidFill>
                </w14:textFill>
              </w:rPr>
              <w:t>.</w:t>
            </w:r>
            <w:r>
              <w:rPr>
                <w:rFonts w:hint="eastAsia" w:ascii="宋体" w:hAnsi="宋体" w:cs="宋体"/>
                <w:color w:val="000000" w:themeColor="text1"/>
                <w:kern w:val="0"/>
                <w:sz w:val="18"/>
                <w:szCs w:val="18"/>
                <w:highlight w:val="none"/>
                <w14:textFill>
                  <w14:solidFill>
                    <w14:schemeClr w14:val="tx1"/>
                  </w14:solidFill>
                </w14:textFill>
              </w:rPr>
              <w:t>2350</w:t>
            </w:r>
          </w:p>
        </w:tc>
        <w:tc>
          <w:tcPr>
            <w:tcW w:w="1417" w:type="dxa"/>
            <w:vAlign w:val="center"/>
          </w:tcPr>
          <w:p>
            <w:pPr>
              <w:jc w:val="center"/>
              <w:rPr>
                <w:rFonts w:hint="default" w:ascii="宋体" w:hAnsi="宋体" w:eastAsia="宋体" w:cs="宋体"/>
                <w:color w:val="000000" w:themeColor="text1"/>
                <w:kern w:val="0"/>
                <w:sz w:val="18"/>
                <w:szCs w:val="18"/>
                <w:highlight w:val="none"/>
                <w:lang w:val="en-US" w:eastAsia="zh-CN" w:bidi="ar-SA"/>
                <w14:textFill>
                  <w14:solidFill>
                    <w14:schemeClr w14:val="tx1"/>
                  </w14:solidFill>
                </w14:textFill>
              </w:rPr>
            </w:pPr>
            <w:r>
              <w:rPr>
                <w:rFonts w:ascii="宋体" w:hAnsi="宋体" w:cs="宋体"/>
                <w:color w:val="000000" w:themeColor="text1"/>
                <w:kern w:val="0"/>
                <w:sz w:val="18"/>
                <w:szCs w:val="18"/>
                <w:highlight w:val="none"/>
                <w14:textFill>
                  <w14:solidFill>
                    <w14:schemeClr w14:val="tx1"/>
                  </w14:solidFill>
                </w14:textFill>
              </w:rPr>
              <w:t>1.</w:t>
            </w:r>
            <w:r>
              <w:rPr>
                <w:rFonts w:hint="eastAsia" w:ascii="宋体" w:hAnsi="宋体" w:cs="宋体"/>
                <w:color w:val="000000" w:themeColor="text1"/>
                <w:kern w:val="0"/>
                <w:sz w:val="18"/>
                <w:szCs w:val="18"/>
                <w:highlight w:val="none"/>
                <w:lang w:val="en-US" w:eastAsia="zh-CN"/>
                <w14:textFill>
                  <w14:solidFill>
                    <w14:schemeClr w14:val="tx1"/>
                  </w14:solidFill>
                </w14:textFill>
              </w:rPr>
              <w:t>72</w:t>
            </w:r>
          </w:p>
        </w:tc>
        <w:tc>
          <w:tcPr>
            <w:tcW w:w="1701" w:type="dxa"/>
            <w:vAlign w:val="center"/>
          </w:tcPr>
          <w:p>
            <w:pPr>
              <w:jc w:val="center"/>
              <w:rPr>
                <w:rFonts w:ascii="宋体" w:hAnsi="宋体" w:eastAsia="宋体" w:cs="宋体"/>
                <w:color w:val="000000" w:themeColor="text1"/>
                <w:kern w:val="0"/>
                <w:sz w:val="18"/>
                <w:szCs w:val="18"/>
                <w:highlight w:val="none"/>
                <w:lang w:val="en-US" w:eastAsia="zh-CN" w:bidi="ar-SA"/>
                <w14:textFill>
                  <w14:solidFill>
                    <w14:schemeClr w14:val="tx1"/>
                  </w14:solidFill>
                </w14:textFill>
              </w:rPr>
            </w:pPr>
            <w:r>
              <w:rPr>
                <w:rFonts w:hint="eastAsia" w:ascii="宋体" w:hAnsi="宋体" w:cs="宋体"/>
                <w:color w:val="000000" w:themeColor="text1"/>
                <w:kern w:val="0"/>
                <w:sz w:val="18"/>
                <w:szCs w:val="18"/>
                <w:highlight w:val="none"/>
                <w14:textFill>
                  <w14:solidFill>
                    <w14:schemeClr w14:val="tx1"/>
                  </w14:solidFill>
                </w14:textFill>
              </w:rPr>
              <w:t>0</w:t>
            </w:r>
          </w:p>
        </w:tc>
        <w:tc>
          <w:tcPr>
            <w:tcW w:w="1161" w:type="dxa"/>
            <w:vAlign w:val="center"/>
          </w:tcPr>
          <w:p>
            <w:pPr>
              <w:jc w:val="center"/>
              <w:rPr>
                <w:rFonts w:ascii="宋体" w:hAnsi="宋体" w:eastAsia="宋体" w:cs="宋体"/>
                <w:color w:val="000000" w:themeColor="text1"/>
                <w:kern w:val="0"/>
                <w:sz w:val="18"/>
                <w:szCs w:val="18"/>
                <w:highlight w:val="none"/>
                <w:lang w:val="en-US" w:eastAsia="zh-CN" w:bidi="ar-SA"/>
                <w14:textFill>
                  <w14:solidFill>
                    <w14:schemeClr w14:val="tx1"/>
                  </w14:solidFill>
                </w14:textFill>
              </w:rPr>
            </w:pPr>
            <w:r>
              <w:rPr>
                <w:rFonts w:ascii="宋体" w:hAnsi="宋体" w:cs="宋体"/>
                <w:color w:val="000000" w:themeColor="text1"/>
                <w:kern w:val="0"/>
                <w:sz w:val="18"/>
                <w:szCs w:val="18"/>
                <w:highlight w:val="none"/>
                <w14:textFill>
                  <w14:solidFill>
                    <w14:schemeClr w14:val="tx1"/>
                  </w14:solidFill>
                </w14:textFill>
              </w:rPr>
              <w:t>0</w:t>
            </w:r>
          </w:p>
        </w:tc>
      </w:tr>
    </w:tbl>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Calibri" w:eastAsia="仿宋_GB2312"/>
          <w:b/>
          <w:color w:val="0000FF"/>
          <w:sz w:val="32"/>
          <w:szCs w:val="32"/>
          <w:lang w:eastAsia="zh-CN"/>
        </w:rPr>
      </w:pPr>
      <w:r>
        <w:rPr>
          <w:rFonts w:hint="eastAsia" w:ascii="仿宋_GB2312" w:hAnsi="Calibri" w:eastAsia="仿宋_GB2312"/>
          <w:b/>
          <w:sz w:val="32"/>
          <w:szCs w:val="32"/>
        </w:rPr>
        <w:t>（四）本行与主要股东关联交易情况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1、截至2025年末，我行最大一户关联方贷款为沭阳县梦溪自来水有限公司40000万元，占资本净额比例6.37%，最大一户关联方所在集团授信为城开梦溪民生集团授信70000万元，占资本净额比例11.15%；全部关联方授信净额（用信余额）90577.49万元，占资本净额的14.43%，控制在50%以内，总体风险可控。其中与主要股东发生的重大关联交易有</w:t>
      </w:r>
      <w:bookmarkStart w:id="5" w:name="_Hlk132038160"/>
      <w:r>
        <w:rPr>
          <w:rFonts w:hint="eastAsia" w:ascii="仿宋_GB2312" w:hAnsi="仿宋_GB2312" w:eastAsia="仿宋_GB2312" w:cs="仿宋_GB2312"/>
          <w:b w:val="0"/>
          <w:bCs w:val="0"/>
          <w:color w:val="000000" w:themeColor="text1"/>
          <w:sz w:val="32"/>
          <w:szCs w:val="32"/>
          <w14:textFill>
            <w14:solidFill>
              <w14:schemeClr w14:val="tx1"/>
            </w14:solidFill>
          </w14:textFill>
        </w:rPr>
        <w:t>6户、余额合计</w:t>
      </w:r>
      <w:bookmarkEnd w:id="5"/>
      <w:r>
        <w:rPr>
          <w:rFonts w:hint="eastAsia" w:ascii="仿宋_GB2312" w:hAnsi="仿宋_GB2312" w:eastAsia="仿宋_GB2312" w:cs="仿宋_GB2312"/>
          <w:b w:val="0"/>
          <w:bCs w:val="0"/>
          <w:color w:val="000000" w:themeColor="text1"/>
          <w:sz w:val="32"/>
          <w:szCs w:val="32"/>
          <w14:textFill>
            <w14:solidFill>
              <w14:schemeClr w14:val="tx1"/>
            </w14:solidFill>
          </w14:textFill>
        </w:rPr>
        <w:t>85061.96万元，分别为：①沭阳县梦溪自来水有限公司、沭阳民生城市公共交通有限公司和江苏沭阳城开集团有限公司合并56000万元；②江苏宝娜斯针织有限公司贷款9472.96万元（其中敞口572.96万元）；③江苏福庆木业有限公司6589万元；④江苏邦源纺织有限公司和正和牧业沭阳有限公司关联贷款4720万元；⑤江苏沂淮水泥有限公司贷款4500万元；</w:t>
      </w:r>
      <w:r>
        <w:rPr>
          <w:rFonts w:hint="eastAsia" w:ascii="仿宋_GB2312" w:hAnsi="仿宋_GB2312" w:eastAsia="仿宋_GB2312" w:cs="仿宋_GB2312"/>
          <w:b w:val="0"/>
          <w:bCs w:val="0"/>
          <w:color w:val="000000" w:themeColor="text1"/>
          <w:sz w:val="32"/>
          <w:szCs w:val="32"/>
          <w14:textFill>
            <w14:solidFill>
              <w14:schemeClr w14:val="tx1"/>
            </w14:solidFill>
          </w14:textFill>
        </w:rPr>
        <w:sym w:font="Wingdings 2" w:char="F06F"/>
      </w:r>
      <w:r>
        <w:rPr>
          <w:rFonts w:hint="eastAsia" w:ascii="仿宋_GB2312" w:hAnsi="仿宋_GB2312" w:eastAsia="仿宋_GB2312" w:cs="仿宋_GB2312"/>
          <w:b w:val="0"/>
          <w:bCs w:val="0"/>
          <w:color w:val="000000" w:themeColor="text1"/>
          <w:sz w:val="32"/>
          <w:szCs w:val="32"/>
          <w14:textFill>
            <w14:solidFill>
              <w14:schemeClr w14:val="tx1"/>
            </w14:solidFill>
          </w14:textFill>
        </w:rPr>
        <w:t>江苏月源纤维科技有限公司贷款3780万元等。一般关联交易</w:t>
      </w:r>
      <w:bookmarkStart w:id="6" w:name="_Hlk132038212"/>
      <w:r>
        <w:rPr>
          <w:rFonts w:hint="eastAsia" w:ascii="仿宋_GB2312" w:hAnsi="仿宋_GB2312" w:eastAsia="仿宋_GB2312" w:cs="仿宋_GB2312"/>
          <w:b w:val="0"/>
          <w:bCs w:val="0"/>
          <w:color w:val="000000" w:themeColor="text1"/>
          <w:sz w:val="32"/>
          <w:szCs w:val="32"/>
          <w14:textFill>
            <w14:solidFill>
              <w14:schemeClr w14:val="tx1"/>
            </w14:solidFill>
          </w14:textFill>
        </w:rPr>
        <w:t>200户、余额合计5515.53万元</w:t>
      </w:r>
      <w:bookmarkEnd w:id="6"/>
      <w:r>
        <w:rPr>
          <w:rFonts w:hint="eastAsia" w:ascii="仿宋_GB2312" w:hAnsi="仿宋_GB2312" w:eastAsia="仿宋_GB2312" w:cs="仿宋_GB2312"/>
          <w:b w:val="0"/>
          <w:bCs w:val="0"/>
          <w:color w:val="000000" w:themeColor="text1"/>
          <w:sz w:val="32"/>
          <w:szCs w:val="32"/>
          <w14:textFill>
            <w14:solidFill>
              <w14:schemeClr w14:val="tx1"/>
            </w14:solidFill>
          </w14:textFill>
        </w:rPr>
        <w:t>，其中关联法人交易2户、2800万元，分别是沭阳翔盛纺织有限公司贷款2500万元、江苏陀沟食品有限公司贷款300万元等；关联自然人交易</w:t>
      </w:r>
      <w:bookmarkStart w:id="7" w:name="_Hlk132038236"/>
      <w:r>
        <w:rPr>
          <w:rFonts w:hint="eastAsia" w:ascii="仿宋_GB2312" w:hAnsi="仿宋_GB2312" w:eastAsia="仿宋_GB2312" w:cs="仿宋_GB2312"/>
          <w:b w:val="0"/>
          <w:bCs w:val="0"/>
          <w:color w:val="000000" w:themeColor="text1"/>
          <w:sz w:val="32"/>
          <w:szCs w:val="32"/>
          <w14:textFill>
            <w14:solidFill>
              <w14:schemeClr w14:val="tx1"/>
            </w14:solidFill>
          </w14:textFill>
        </w:rPr>
        <w:t>198户、2715.53万元，</w:t>
      </w:r>
      <w:bookmarkEnd w:id="7"/>
      <w:r>
        <w:rPr>
          <w:rFonts w:hint="eastAsia" w:ascii="仿宋_GB2312" w:hAnsi="仿宋_GB2312" w:eastAsia="仿宋_GB2312" w:cs="仿宋_GB2312"/>
          <w:b w:val="0"/>
          <w:bCs w:val="0"/>
          <w:color w:val="000000" w:themeColor="text1"/>
          <w:sz w:val="32"/>
          <w:szCs w:val="32"/>
          <w14:textFill>
            <w14:solidFill>
              <w14:schemeClr w14:val="tx1"/>
            </w14:solidFill>
          </w14:textFill>
        </w:rPr>
        <w:t>其中贷款2639万元、信用卡透支76万元。</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2、2025年度重大关联交易: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重大关联交易单户授信额度均未超过本行资本净额10%，均经本行董事会风险管理与关联交易控制委员会审议通过后提交董事会批准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后进行了披露</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spacing w:line="540" w:lineRule="exact"/>
        <w:ind w:firstLine="643" w:firstLineChars="200"/>
        <w:rPr>
          <w:rFonts w:ascii="仿宋_GB2312" w:hAnsi="Calibri" w:eastAsia="仿宋_GB2312"/>
          <w:b/>
          <w:sz w:val="32"/>
          <w:szCs w:val="32"/>
        </w:rPr>
      </w:pPr>
      <w:r>
        <w:rPr>
          <w:rFonts w:hint="eastAsia" w:ascii="仿宋_GB2312" w:hAnsi="Calibri" w:eastAsia="仿宋_GB2312"/>
          <w:b/>
          <w:sz w:val="32"/>
          <w:szCs w:val="32"/>
        </w:rPr>
        <w:t>（</w:t>
      </w:r>
      <w:r>
        <w:rPr>
          <w:rFonts w:ascii="仿宋_GB2312" w:hAnsi="Calibri" w:eastAsia="仿宋_GB2312"/>
          <w:b/>
          <w:sz w:val="32"/>
          <w:szCs w:val="32"/>
        </w:rPr>
        <w:t>五）</w:t>
      </w:r>
      <w:r>
        <w:rPr>
          <w:rFonts w:hint="eastAsia" w:ascii="仿宋_GB2312" w:hAnsi="Calibri" w:eastAsia="仿宋_GB2312"/>
          <w:b/>
          <w:sz w:val="32"/>
          <w:szCs w:val="32"/>
        </w:rPr>
        <w:t>股东提名董事、监事情况</w:t>
      </w:r>
    </w:p>
    <w:p>
      <w:pPr>
        <w:spacing w:line="540" w:lineRule="exact"/>
        <w:ind w:firstLine="640" w:firstLineChars="200"/>
        <w:rPr>
          <w:rFonts w:ascii="仿宋_GB2312" w:hAnsi="宋体" w:eastAsia="仿宋_GB2312" w:cs="Courier New"/>
          <w:color w:val="000000" w:themeColor="text1"/>
          <w:sz w:val="32"/>
          <w:szCs w:val="32"/>
          <w14:textFill>
            <w14:solidFill>
              <w14:schemeClr w14:val="tx1"/>
            </w14:solidFill>
          </w14:textFill>
        </w:rPr>
      </w:pPr>
      <w:r>
        <w:rPr>
          <w:rFonts w:hint="eastAsia" w:ascii="仿宋_GB2312" w:hAnsi="Calibri" w:eastAsia="仿宋_GB2312"/>
          <w:sz w:val="32"/>
          <w:szCs w:val="32"/>
        </w:rPr>
        <w:t>报告期内，</w:t>
      </w:r>
      <w:r>
        <w:rPr>
          <w:rFonts w:hint="eastAsia" w:ascii="仿宋_GB2312" w:hAnsi="Calibri" w:eastAsia="仿宋_GB2312"/>
          <w:sz w:val="32"/>
          <w:szCs w:val="32"/>
          <w:lang w:val="en-US" w:eastAsia="zh-CN"/>
        </w:rPr>
        <w:t>股东提名陈爽为股权董事</w:t>
      </w:r>
      <w:r>
        <w:rPr>
          <w:rFonts w:hint="eastAsia" w:ascii="仿宋_GB2312" w:hAnsi="Calibri" w:eastAsia="仿宋_GB2312"/>
          <w:sz w:val="32"/>
          <w:szCs w:val="32"/>
        </w:rPr>
        <w:t>。</w:t>
      </w:r>
    </w:p>
    <w:p>
      <w:pPr>
        <w:adjustRightInd w:val="0"/>
        <w:snapToGrid w:val="0"/>
        <w:spacing w:line="560" w:lineRule="exact"/>
        <w:ind w:firstLine="643" w:firstLineChars="200"/>
        <w:rPr>
          <w:rFonts w:hint="eastAsia" w:ascii="仿宋_GB2312" w:hAnsi="宋体" w:eastAsia="仿宋_GB2312" w:cs="Arial"/>
          <w:b/>
          <w:color w:val="000000" w:themeColor="text1"/>
          <w:sz w:val="32"/>
          <w:szCs w:val="32"/>
          <w:lang w:eastAsia="zh-CN"/>
          <w14:textFill>
            <w14:solidFill>
              <w14:schemeClr w14:val="tx1"/>
            </w14:solidFill>
          </w14:textFill>
        </w:rPr>
      </w:pPr>
      <w:r>
        <w:rPr>
          <w:rFonts w:hint="eastAsia" w:ascii="仿宋_GB2312" w:hAnsi="宋体" w:eastAsia="仿宋_GB2312" w:cs="Arial"/>
          <w:b/>
          <w:color w:val="000000" w:themeColor="text1"/>
          <w:sz w:val="32"/>
          <w:szCs w:val="32"/>
          <w14:textFill>
            <w14:solidFill>
              <w14:schemeClr w14:val="tx1"/>
            </w14:solidFill>
          </w14:textFill>
        </w:rPr>
        <w:t>二、本公司第一大股东情况</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沭阳金源资产经营有限公司，公司类型为有限责任公司（国有独资）。公司注册地：沭阳县苏州东路19号。法定代表人：张克。注册资本：150000万元人民币。该股东经营范围：房地产开发、经营；实业投资及资产管理；基础设施建设；土地整理；水利工程施工（依法须经批准的项目，经相关部门批准后方可开展经营活动），年度内持股无变化。</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江苏邦源纺织有限公司，公司类型为有限责任公司（自然人投资或控股法人独资）。公司注册地：沭阳县开发区邦源路2号。法定代表人：何金生。注册资本：2000万元人民币。该股东经营范围：化纤类纺织材料生产、销售。（依法须经批准的项目，经相关部门批准后方可开展经营活动）一般项目：住房租赁；非居住房地产租赁（除依法须经批准的项目外，凭营业执照依法自主开展经营活动），年度内持股无变化。</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三、其他持有本公司股权在5%以上的股东情况</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1、沭阳金诚资产经营有限公司，公司类型为有限责任公司（国有独资）。公司注册地：沭阳县苏州路南侧台州路东侧。法定代表人：</w:t>
      </w:r>
      <w:r>
        <w:rPr>
          <w:rFonts w:hint="eastAsia" w:ascii="仿宋_GB2312" w:hAnsi="仿宋_GB2312" w:eastAsia="仿宋_GB2312" w:cs="仿宋_GB2312"/>
          <w:color w:val="000000" w:themeColor="text1"/>
          <w:sz w:val="32"/>
          <w:szCs w:val="32"/>
          <w:lang w:eastAsia="zh-CN"/>
          <w14:textFill>
            <w14:solidFill>
              <w14:schemeClr w14:val="tx1"/>
            </w14:solidFill>
          </w14:textFill>
        </w:rPr>
        <w:t>胡广超</w:t>
      </w:r>
      <w:r>
        <w:rPr>
          <w:rFonts w:hint="eastAsia" w:ascii="仿宋_GB2312" w:hAnsi="仿宋_GB2312" w:eastAsia="仿宋_GB2312" w:cs="仿宋_GB2312"/>
          <w:color w:val="000000" w:themeColor="text1"/>
          <w:sz w:val="32"/>
          <w:szCs w:val="32"/>
          <w14:textFill>
            <w14:solidFill>
              <w14:schemeClr w14:val="tx1"/>
            </w14:solidFill>
          </w14:textFill>
        </w:rPr>
        <w:t>。注册资本20100万元人民币。该股东经营范围：收购不良资产（金融资产除外）；实业项目投资及资产管理服务；创业投资；接收县政府委托管理和处置资产；投资管理信息、商务信息、财务信息、资产管理咨询服务；企业管理服务；输水管道工程施工服务；代理消费收取服务；水利工程、道路工程施工（依法须经批准的项目，经相关部门批准后方可开展经营活动），年度内持股无变化。</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2、江苏宝娜斯针织有限公司，公司类型为有限责任公司（非自然人投资或控股的法人独资）。公司注册地：沭阳县经济开发区义乌路6号。法定代表人：</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"https://www.qcc.com/pl/pa9210cd29fd4757968b50ca1425f9ae.html" \t "https://www.qcc.com/web/_blank"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黄祖群</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注册资本：10000万元人民币。该股东经营范围：针织品制造、产品及原料销售;项目投资;自营和代理各类商品及技术的进出口业务（国家限定企业经营或禁止进出口的商品和技术除外）;房屋租赁（依法须经批准的项目,经相关部门批准后方可开展经营活动），年度内持股无变化。。</w:t>
      </w:r>
    </w:p>
    <w:p>
      <w:pPr>
        <w:pStyle w:val="8"/>
        <w:keepNext w:val="0"/>
        <w:keepLines w:val="0"/>
        <w:pageBreakBefore w:val="0"/>
        <w:widowControl w:val="0"/>
        <w:kinsoku/>
        <w:wordWrap/>
        <w:overflowPunct/>
        <w:topLinePunct w:val="0"/>
        <w:autoSpaceDE/>
        <w:autoSpaceDN/>
        <w:bidi w:val="0"/>
        <w:spacing w:line="540" w:lineRule="exact"/>
        <w:ind w:firstLine="643" w:firstLineChars="200"/>
        <w:textAlignment w:val="auto"/>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四、其他主要股东情况</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1、江苏福庆木业有限公司，公司类型为有限责任公司(自然人投资或控股)。公司注册地：沭阳县青伊湖镇滥洪村（滥洪大转盘北侧300米处） 。法定代表人：陈长富。注册资本：2000万元人民币。该股东经营范围：木制品加工、销售;木材、建筑材料、装饰材料、建筑五金、电工器材销售; 自营和代理各类商品及技术的进出口业务（国家限定企业经营或禁止进出口的商品和技术除外），（依法须经批准的项目,经相关部门批准后方可开展经营活动）。为我行董事所在企业，年度内持股无变化。</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江苏沂淮水泥有限公司，公司类型为有限责任公司(自然人投资或控股)。公司注册地：沭阳县深圳西路淮河头。法定代表人：陈宜兵。注册资本：10000万元人民币。该股东经营范围：水泥、石灰石、矿粉制造、销售；粉煤灰加工、销售；脱硫石膏、水泥熟料、燃煤炉渣销售。（依法须经批准的项目，经相关部门批准后方可开展经营活动）许可项目：水路普通货物运输；道路货物运输（不含危险货物）；道路货物运输（网络货运）；道路货物运输站经营（依法须经批准的项目，经相关部门批准后方可开展经营活动，具体经营项目以审批结果为准）一般项目：装卸搬运；普通货物仓储服务（不含危险化学品等需许可审批的项目）；国内货物运输代理；国际货物运输代理（除依法须经批准的项目外，凭营业执照依法自主开展经营活动）。为我行董事所在企业，年度内持股无变化。。</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、沭阳行宇企业管理有限公司，公司类型为有限责任公司（自然人投资或控股的法人独资）。公司注册地：宿迁市沭阳县帝景华府6#、9#幢123(9#)铺</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法定代表人：</w:t>
      </w: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HYPERLINK "https://www.qcc.com/pl/pr3a370e22d7f3d34c0fc2a78bc75b74.html" \t "https://www.qcc.com/web/_blank"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李琼杰</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注册资本：50万元人民币。该股东经营范围：企业管理服务;房地产策划、营销、咨询服务;汽车销售;网络科技开发及维护;科技信息咨询服务;市场营销策划;计算机辅助设备安装及维修;机电设备、新能源产品开发;五金电器、服装鞋帽、儿童用品、日用百货、化妆品、工艺品、家具、食品、家用电器、卷烟、蔬菜、水果、生鲜肉、甘油销售。（依法须经批准的项目,经相关部门批准后方可开展经营活动），为我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拟任董</w:t>
      </w:r>
      <w:r>
        <w:rPr>
          <w:rFonts w:hint="eastAsia" w:ascii="仿宋_GB2312" w:hAnsi="仿宋_GB2312" w:eastAsia="仿宋_GB2312" w:cs="仿宋_GB2312"/>
          <w:color w:val="000000" w:themeColor="text1"/>
          <w:sz w:val="32"/>
          <w:szCs w:val="32"/>
          <w14:textFill>
            <w14:solidFill>
              <w14:schemeClr w14:val="tx1"/>
            </w14:solidFill>
          </w14:textFill>
        </w:rPr>
        <w:t>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实际控制</w:t>
      </w:r>
      <w:r>
        <w:rPr>
          <w:rFonts w:hint="eastAsia" w:ascii="仿宋_GB2312" w:hAnsi="仿宋_GB2312" w:eastAsia="仿宋_GB2312" w:cs="仿宋_GB2312"/>
          <w:color w:val="000000" w:themeColor="text1"/>
          <w:sz w:val="32"/>
          <w:szCs w:val="32"/>
          <w14:textFill>
            <w14:solidFill>
              <w14:schemeClr w14:val="tx1"/>
            </w14:solidFill>
          </w14:textFill>
        </w:rPr>
        <w:t>企业。</w:t>
      </w:r>
    </w:p>
    <w:p>
      <w:pPr>
        <w:pStyle w:val="8"/>
        <w:keepNext w:val="0"/>
        <w:keepLines w:val="0"/>
        <w:pageBreakBefore w:val="0"/>
        <w:widowControl w:val="0"/>
        <w:kinsoku/>
        <w:wordWrap/>
        <w:overflowPunct/>
        <w:topLinePunct w:val="0"/>
        <w:autoSpaceDE/>
        <w:autoSpaceDN/>
        <w:bidi w:val="0"/>
        <w:spacing w:line="540" w:lineRule="exact"/>
        <w:ind w:firstLine="643"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五、其他说明</w:t>
      </w:r>
    </w:p>
    <w:p>
      <w:pPr>
        <w:pStyle w:val="8"/>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报告期间我行股权质押户数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户、质押股权总数10726</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2244万股，质押占比</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14.26</w:t>
      </w:r>
      <w:r>
        <w:rPr>
          <w:rFonts w:hint="eastAsia" w:ascii="仿宋_GB2312" w:hAnsi="仿宋_GB2312" w:eastAsia="仿宋_GB2312" w:cs="仿宋_GB2312"/>
          <w:color w:val="000000" w:themeColor="text1"/>
          <w:sz w:val="32"/>
          <w:szCs w:val="32"/>
          <w14:textFill>
            <w14:solidFill>
              <w14:schemeClr w14:val="tx1"/>
            </w14:solidFill>
          </w14:textFill>
        </w:rPr>
        <w:t>%，符合监管质押比例不超过20%要求。我行已对质押超过50%以上3户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企业</w:t>
      </w:r>
      <w:r>
        <w:rPr>
          <w:rFonts w:hint="eastAsia" w:ascii="仿宋_GB2312" w:hAnsi="仿宋_GB2312" w:eastAsia="仿宋_GB2312" w:cs="仿宋_GB2312"/>
          <w:color w:val="000000" w:themeColor="text1"/>
          <w:sz w:val="32"/>
          <w:szCs w:val="32"/>
          <w14:textFill>
            <w14:solidFill>
              <w14:schemeClr w14:val="tx1"/>
            </w14:solidFill>
          </w14:textFill>
        </w:rPr>
        <w:t>江苏邦源纺织有限公司</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江苏月源纤维科技有限公司</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沭阳县大有文化发展有限公司股东权利在股东会上、董事会表决权进行限制。</w:t>
      </w:r>
    </w:p>
    <w:p>
      <w:pPr>
        <w:pStyle w:val="8"/>
        <w:spacing w:line="560" w:lineRule="exact"/>
        <w:ind w:firstLine="198"/>
        <w:jc w:val="center"/>
        <w:outlineLvl w:val="0"/>
        <w:rPr>
          <w:rFonts w:ascii="仿宋_GB2312" w:hAnsi="宋体" w:eastAsia="仿宋_GB2312"/>
          <w:b/>
          <w:bCs/>
          <w:color w:val="000000" w:themeColor="text1"/>
          <w:sz w:val="32"/>
          <w:szCs w:val="32"/>
          <w14:textFill>
            <w14:solidFill>
              <w14:schemeClr w14:val="tx1"/>
            </w14:solidFill>
          </w14:textFill>
        </w:rPr>
      </w:pPr>
      <w:bookmarkStart w:id="8" w:name="_Toc13179"/>
    </w:p>
    <w:p>
      <w:pPr>
        <w:pStyle w:val="8"/>
        <w:spacing w:line="560" w:lineRule="exact"/>
        <w:ind w:firstLine="198"/>
        <w:jc w:val="center"/>
        <w:outlineLvl w:val="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第五节  董事、监事、高级管理人员和员工的情况</w:t>
      </w:r>
      <w:bookmarkEnd w:id="8"/>
    </w:p>
    <w:p>
      <w:pPr>
        <w:adjustRightInd w:val="0"/>
        <w:snapToGrid w:val="0"/>
        <w:spacing w:line="560" w:lineRule="exact"/>
        <w:rPr>
          <w:rFonts w:ascii="仿宋_GB2312" w:hAnsi="宋体" w:eastAsia="仿宋_GB2312" w:cs="Arial"/>
          <w:b/>
          <w:color w:val="000000" w:themeColor="text1"/>
          <w:sz w:val="32"/>
          <w:szCs w:val="32"/>
          <w14:textFill>
            <w14:solidFill>
              <w14:schemeClr w14:val="tx1"/>
            </w14:solidFill>
          </w14:textFill>
        </w:rPr>
      </w:pPr>
    </w:p>
    <w:p>
      <w:pPr>
        <w:adjustRightInd w:val="0"/>
        <w:snapToGrid w:val="0"/>
        <w:spacing w:line="560" w:lineRule="exact"/>
        <w:rPr>
          <w:rFonts w:ascii="仿宋_GB2312" w:hAnsi="宋体" w:eastAsia="仿宋_GB2312" w:cs="Arial"/>
          <w:b/>
          <w:color w:val="000000" w:themeColor="text1"/>
          <w:sz w:val="32"/>
          <w:szCs w:val="32"/>
          <w14:textFill>
            <w14:solidFill>
              <w14:schemeClr w14:val="tx1"/>
            </w14:solidFill>
          </w14:textFill>
        </w:rPr>
      </w:pPr>
      <w:r>
        <w:rPr>
          <w:rFonts w:hint="eastAsia" w:ascii="仿宋_GB2312" w:hAnsi="宋体" w:eastAsia="仿宋_GB2312" w:cs="Arial"/>
          <w:b/>
          <w:color w:val="000000" w:themeColor="text1"/>
          <w:sz w:val="32"/>
          <w:szCs w:val="32"/>
          <w14:textFill>
            <w14:solidFill>
              <w14:schemeClr w14:val="tx1"/>
            </w14:solidFill>
          </w14:textFill>
        </w:rPr>
        <w:t>一</w:t>
      </w:r>
      <w:r>
        <w:rPr>
          <w:rFonts w:ascii="仿宋_GB2312" w:hAnsi="宋体" w:eastAsia="仿宋_GB2312" w:cs="Arial"/>
          <w:b/>
          <w:color w:val="000000" w:themeColor="text1"/>
          <w:sz w:val="32"/>
          <w:szCs w:val="32"/>
          <w14:textFill>
            <w14:solidFill>
              <w14:schemeClr w14:val="tx1"/>
            </w14:solidFill>
          </w14:textFill>
        </w:rPr>
        <w:t>、</w:t>
      </w:r>
      <w:r>
        <w:rPr>
          <w:rFonts w:hint="eastAsia" w:ascii="仿宋_GB2312" w:hAnsi="宋体" w:eastAsia="仿宋_GB2312" w:cs="Arial"/>
          <w:b/>
          <w:color w:val="000000" w:themeColor="text1"/>
          <w:sz w:val="32"/>
          <w:szCs w:val="32"/>
          <w14:textFill>
            <w14:solidFill>
              <w14:schemeClr w14:val="tx1"/>
            </w14:solidFill>
          </w14:textFill>
        </w:rPr>
        <w:t>董事、监事、高级管理人员基本情况</w:t>
      </w:r>
    </w:p>
    <w:p>
      <w:pPr>
        <w:adjustRightInd w:val="0"/>
        <w:snapToGrid w:val="0"/>
        <w:spacing w:line="560" w:lineRule="exact"/>
        <w:rPr>
          <w:rFonts w:ascii="仿宋_GB2312" w:hAnsi="宋体" w:eastAsia="仿宋_GB2312" w:cs="Arial"/>
          <w:b/>
          <w:color w:val="000000" w:themeColor="text1"/>
          <w:sz w:val="32"/>
          <w:szCs w:val="32"/>
          <w14:textFill>
            <w14:solidFill>
              <w14:schemeClr w14:val="tx1"/>
            </w14:solidFill>
          </w14:textFill>
        </w:rPr>
      </w:pPr>
      <w:r>
        <w:rPr>
          <w:rFonts w:hint="eastAsia" w:ascii="仿宋_GB2312" w:hAnsi="宋体" w:eastAsia="仿宋_GB2312" w:cs="Arial"/>
          <w:b/>
          <w:color w:val="000000" w:themeColor="text1"/>
          <w:sz w:val="32"/>
          <w:szCs w:val="32"/>
          <w14:textFill>
            <w14:solidFill>
              <w14:schemeClr w14:val="tx1"/>
            </w14:solidFill>
          </w14:textFill>
        </w:rPr>
        <w:t>（</w:t>
      </w:r>
      <w:r>
        <w:rPr>
          <w:rFonts w:ascii="仿宋_GB2312" w:hAnsi="宋体" w:eastAsia="仿宋_GB2312" w:cs="Arial"/>
          <w:b/>
          <w:color w:val="000000" w:themeColor="text1"/>
          <w:sz w:val="32"/>
          <w:szCs w:val="32"/>
          <w14:textFill>
            <w14:solidFill>
              <w14:schemeClr w14:val="tx1"/>
            </w14:solidFill>
          </w14:textFill>
        </w:rPr>
        <w:t>一）</w:t>
      </w:r>
      <w:r>
        <w:rPr>
          <w:rFonts w:hint="eastAsia" w:ascii="仿宋_GB2312" w:hAnsi="宋体" w:eastAsia="仿宋_GB2312" w:cs="Arial"/>
          <w:b/>
          <w:color w:val="000000" w:themeColor="text1"/>
          <w:sz w:val="32"/>
          <w:szCs w:val="32"/>
          <w14:textFill>
            <w14:solidFill>
              <w14:schemeClr w14:val="tx1"/>
            </w14:solidFill>
          </w14:textFill>
        </w:rPr>
        <w:t>董事、监事、高级管理人员基本情况</w:t>
      </w:r>
    </w:p>
    <w:p>
      <w:pPr>
        <w:adjustRightInd w:val="0"/>
        <w:snapToGrid w:val="0"/>
        <w:spacing w:line="560" w:lineRule="exact"/>
        <w:ind w:firstLine="420" w:firstLineChars="200"/>
        <w:rPr>
          <w:rFonts w:hint="eastAsia" w:ascii="仿宋_GB2312" w:hAnsi="宋体" w:eastAsia="仿宋_GB2312" w:cs="Arial"/>
          <w:b/>
          <w:color w:val="000000" w:themeColor="text1"/>
          <w:sz w:val="32"/>
          <w:szCs w:val="32"/>
          <w14:textFill>
            <w14:solidFill>
              <w14:schemeClr w14:val="tx1"/>
            </w14:solidFill>
          </w14:textFill>
        </w:rPr>
      </w:pPr>
      <w:r>
        <w:rPr>
          <w:rFonts w:hint="eastAsia" w:hAnsi="宋体"/>
          <w:color w:val="000000" w:themeColor="text1"/>
          <w14:textFill>
            <w14:solidFill>
              <w14:schemeClr w14:val="tx1"/>
            </w14:solidFill>
          </w14:textFill>
        </w:rPr>
        <w:t xml:space="preserve">     </w:t>
      </w:r>
    </w:p>
    <w:tbl>
      <w:tblPr>
        <w:tblStyle w:val="16"/>
        <w:tblW w:w="9694" w:type="dxa"/>
        <w:jc w:val="center"/>
        <w:tblLayout w:type="fixed"/>
        <w:tblCellMar>
          <w:top w:w="0" w:type="dxa"/>
          <w:left w:w="108" w:type="dxa"/>
          <w:bottom w:w="0" w:type="dxa"/>
          <w:right w:w="108" w:type="dxa"/>
        </w:tblCellMar>
      </w:tblPr>
      <w:tblGrid>
        <w:gridCol w:w="552"/>
        <w:gridCol w:w="1105"/>
        <w:gridCol w:w="554"/>
        <w:gridCol w:w="1493"/>
        <w:gridCol w:w="1647"/>
        <w:gridCol w:w="1159"/>
        <w:gridCol w:w="756"/>
        <w:gridCol w:w="970"/>
        <w:gridCol w:w="1458"/>
      </w:tblGrid>
      <w:tr>
        <w:tblPrEx>
          <w:tblCellMar>
            <w:top w:w="0" w:type="dxa"/>
            <w:left w:w="108" w:type="dxa"/>
            <w:bottom w:w="0" w:type="dxa"/>
            <w:right w:w="108" w:type="dxa"/>
          </w:tblCellMar>
        </w:tblPrEx>
        <w:trPr>
          <w:trHeight w:val="567" w:hRule="exact"/>
          <w:jc w:val="center"/>
        </w:trPr>
        <w:tc>
          <w:tcPr>
            <w:tcW w:w="552" w:type="dxa"/>
            <w:tcBorders>
              <w:top w:val="single" w:color="auto" w:sz="12" w:space="0"/>
              <w:left w:val="single" w:color="auto" w:sz="12" w:space="0"/>
              <w:bottom w:val="single" w:color="auto" w:sz="4" w:space="0"/>
              <w:right w:val="single" w:color="auto" w:sz="4" w:space="0"/>
            </w:tcBorders>
            <w:vAlign w:val="center"/>
          </w:tcPr>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序号</w:t>
            </w:r>
          </w:p>
        </w:tc>
        <w:tc>
          <w:tcPr>
            <w:tcW w:w="1105" w:type="dxa"/>
            <w:tcBorders>
              <w:top w:val="single" w:color="auto" w:sz="12"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姓名</w:t>
            </w:r>
          </w:p>
        </w:tc>
        <w:tc>
          <w:tcPr>
            <w:tcW w:w="554" w:type="dxa"/>
            <w:tcBorders>
              <w:top w:val="single" w:color="auto" w:sz="12"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性</w:t>
            </w:r>
          </w:p>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别</w:t>
            </w:r>
          </w:p>
        </w:tc>
        <w:tc>
          <w:tcPr>
            <w:tcW w:w="1493" w:type="dxa"/>
            <w:tcBorders>
              <w:top w:val="single" w:color="auto" w:sz="12" w:space="0"/>
              <w:left w:val="nil"/>
              <w:bottom w:val="single" w:color="auto" w:sz="4" w:space="0"/>
              <w:right w:val="single" w:color="auto" w:sz="4" w:space="0"/>
            </w:tcBorders>
            <w:vAlign w:val="center"/>
          </w:tcPr>
          <w:p>
            <w:pPr>
              <w:widowControl/>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类</w:t>
            </w:r>
            <w:r>
              <w:rPr>
                <w:rFonts w:ascii="宋体" w:hAnsi="宋体" w:cs="宋体"/>
                <w:color w:val="000000" w:themeColor="text1"/>
                <w:kern w:val="0"/>
                <w:sz w:val="22"/>
                <w14:textFill>
                  <w14:solidFill>
                    <w14:schemeClr w14:val="tx1"/>
                  </w14:solidFill>
                </w14:textFill>
              </w:rPr>
              <w:t xml:space="preserve">      </w:t>
            </w:r>
            <w:r>
              <w:rPr>
                <w:rFonts w:hint="eastAsia" w:ascii="宋体" w:hAnsi="宋体" w:cs="宋体"/>
                <w:color w:val="000000" w:themeColor="text1"/>
                <w:kern w:val="0"/>
                <w:sz w:val="22"/>
                <w14:textFill>
                  <w14:solidFill>
                    <w14:schemeClr w14:val="tx1"/>
                  </w14:solidFill>
                </w14:textFill>
              </w:rPr>
              <w:t>型</w:t>
            </w:r>
          </w:p>
        </w:tc>
        <w:tc>
          <w:tcPr>
            <w:tcW w:w="1647" w:type="dxa"/>
            <w:tcBorders>
              <w:top w:val="single" w:color="auto" w:sz="12"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任职起始年月</w:t>
            </w:r>
          </w:p>
        </w:tc>
        <w:tc>
          <w:tcPr>
            <w:tcW w:w="1159" w:type="dxa"/>
            <w:tcBorders>
              <w:top w:val="single" w:color="auto" w:sz="12"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出生</w:t>
            </w:r>
          </w:p>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年月</w:t>
            </w:r>
          </w:p>
        </w:tc>
        <w:tc>
          <w:tcPr>
            <w:tcW w:w="756" w:type="dxa"/>
            <w:tcBorders>
              <w:top w:val="single" w:color="auto" w:sz="12"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民</w:t>
            </w:r>
          </w:p>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族</w:t>
            </w:r>
          </w:p>
        </w:tc>
        <w:tc>
          <w:tcPr>
            <w:tcW w:w="970" w:type="dxa"/>
            <w:tcBorders>
              <w:top w:val="single" w:color="auto" w:sz="12"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学历</w:t>
            </w:r>
          </w:p>
        </w:tc>
        <w:tc>
          <w:tcPr>
            <w:tcW w:w="1458" w:type="dxa"/>
            <w:tcBorders>
              <w:top w:val="single" w:color="auto" w:sz="12"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期末持股数</w:t>
            </w: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陈雷</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董事长</w:t>
            </w:r>
            <w:r>
              <w:rPr>
                <w:rFonts w:ascii="宋体" w:hAnsi="宋体" w:cs="宋体"/>
                <w:color w:val="000000"/>
                <w:kern w:val="0"/>
                <w:sz w:val="20"/>
                <w:lang w:bidi="ar"/>
              </w:rPr>
              <w:t>、</w:t>
            </w:r>
            <w:r>
              <w:rPr>
                <w:rFonts w:hint="eastAsia" w:ascii="宋体" w:hAnsi="宋体" w:cs="宋体"/>
                <w:color w:val="000000"/>
                <w:kern w:val="0"/>
                <w:sz w:val="20"/>
                <w:lang w:bidi="ar"/>
              </w:rPr>
              <w:t>执行董事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2020年12月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1969年12月</w:t>
            </w:r>
          </w:p>
        </w:tc>
        <w:tc>
          <w:tcPr>
            <w:tcW w:w="75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2</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夏浩博</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行</w:t>
            </w:r>
            <w:r>
              <w:rPr>
                <w:rFonts w:ascii="宋体" w:hAnsi="宋体" w:cs="宋体"/>
                <w:color w:val="000000"/>
                <w:kern w:val="0"/>
                <w:sz w:val="20"/>
                <w:lang w:bidi="ar"/>
              </w:rPr>
              <w:t>长、</w:t>
            </w:r>
            <w:r>
              <w:rPr>
                <w:rFonts w:hint="eastAsia" w:ascii="宋体" w:hAnsi="宋体" w:cs="宋体"/>
                <w:color w:val="000000"/>
                <w:kern w:val="0"/>
                <w:sz w:val="20"/>
                <w:lang w:bidi="ar"/>
              </w:rPr>
              <w:t>执行董事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kern w:val="0"/>
                <w:sz w:val="20"/>
                <w:lang w:bidi="ar"/>
              </w:rPr>
              <w:t>2021年12月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1972年4月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陈庚新</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行长、执行董事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2025年8月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1986年9月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硕士</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4</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朱雪松</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副</w:t>
            </w:r>
            <w:r>
              <w:rPr>
                <w:rFonts w:ascii="宋体" w:hAnsi="宋体" w:cs="宋体"/>
                <w:color w:val="000000"/>
                <w:kern w:val="0"/>
                <w:sz w:val="20"/>
                <w:lang w:bidi="ar"/>
              </w:rPr>
              <w:t>行长、</w:t>
            </w:r>
            <w:r>
              <w:rPr>
                <w:rFonts w:hint="eastAsia" w:ascii="宋体" w:hAnsi="宋体" w:cs="宋体"/>
                <w:color w:val="000000"/>
                <w:kern w:val="0"/>
                <w:sz w:val="20"/>
                <w:lang w:bidi="ar"/>
              </w:rPr>
              <w:t>执行董事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2021年12月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1975年10月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5</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周建伟</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副</w:t>
            </w:r>
            <w:r>
              <w:rPr>
                <w:rFonts w:ascii="宋体" w:hAnsi="宋体" w:cs="宋体"/>
                <w:color w:val="000000"/>
                <w:kern w:val="0"/>
                <w:sz w:val="20"/>
                <w:lang w:bidi="ar"/>
              </w:rPr>
              <w:t>行长、</w:t>
            </w:r>
            <w:r>
              <w:rPr>
                <w:rFonts w:hint="eastAsia" w:ascii="宋体" w:hAnsi="宋体" w:cs="宋体"/>
                <w:color w:val="000000"/>
                <w:kern w:val="0"/>
                <w:sz w:val="20"/>
                <w:lang w:bidi="ar"/>
              </w:rPr>
              <w:t>执行董事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2018年3月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1976年1月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57</w:t>
            </w:r>
            <w:r>
              <w:rPr>
                <w:rFonts w:hint="eastAsia" w:ascii="宋体" w:hAnsi="宋体" w:cs="宋体"/>
                <w:color w:val="000000" w:themeColor="text1"/>
                <w:kern w:val="0"/>
                <w:szCs w:val="21"/>
                <w:lang w:val="en-US" w:eastAsia="zh-CN"/>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4018</w:t>
            </w: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6</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苗启德</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职工董事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2021年12月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1979年4月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w:t>
            </w:r>
            <w:r>
              <w:rPr>
                <w:rFonts w:hint="eastAsia" w:ascii="宋体" w:hAnsi="宋体" w:cs="宋体"/>
                <w:color w:val="000000" w:themeColor="text1"/>
                <w:kern w:val="0"/>
                <w:szCs w:val="21"/>
                <w:lang w:val="en-US" w:eastAsia="zh-CN"/>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4604</w:t>
            </w: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张新苗</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女</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独立董事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2021年12月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1983年9月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ind w:right="45" w:rightChars="0"/>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Calibri" w:hAnsi="Calibri"/>
                <w:color w:val="000000" w:themeColor="text1"/>
                <w:szCs w:val="21"/>
                <w14:textFill>
                  <w14:solidFill>
                    <w14:schemeClr w14:val="tx1"/>
                  </w14:solidFill>
                </w14:textFill>
              </w:rPr>
            </w:pPr>
            <w:r>
              <w:rPr>
                <w:rFonts w:hint="eastAsia" w:ascii="宋体" w:hAnsi="宋体" w:cs="宋体"/>
                <w:color w:val="000000"/>
                <w:kern w:val="0"/>
                <w:sz w:val="20"/>
                <w:lang w:bidi="ar"/>
              </w:rPr>
              <w:t>李华平</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Calibri" w:hAnsi="Calibri"/>
                <w:color w:val="000000" w:themeColor="text1"/>
                <w:szCs w:val="21"/>
                <w14:textFill>
                  <w14:solidFill>
                    <w14:schemeClr w14:val="tx1"/>
                  </w14:solidFill>
                </w14:textFill>
              </w:rPr>
            </w:pPr>
            <w:r>
              <w:rPr>
                <w:rFonts w:hint="eastAsia" w:ascii="宋体" w:hAnsi="宋体" w:cs="宋体"/>
                <w:color w:val="000000"/>
                <w:kern w:val="0"/>
                <w:sz w:val="20"/>
                <w:lang w:bidi="ar"/>
              </w:rPr>
              <w:t>独立董事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2021年12月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Calibri" w:hAnsi="Calibri"/>
                <w:color w:val="000000" w:themeColor="text1"/>
                <w:szCs w:val="21"/>
                <w14:textFill>
                  <w14:solidFill>
                    <w14:schemeClr w14:val="tx1"/>
                  </w14:solidFill>
                </w14:textFill>
              </w:rPr>
            </w:pPr>
            <w:r>
              <w:rPr>
                <w:rFonts w:hint="eastAsia" w:ascii="宋体" w:hAnsi="宋体" w:cs="宋体"/>
                <w:color w:val="000000"/>
                <w:kern w:val="0"/>
                <w:sz w:val="20"/>
                <w:lang w:bidi="ar"/>
              </w:rPr>
              <w:t>1965年6月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硕士</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ind w:right="45" w:rightChars="0"/>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color w:val="000000" w:themeColor="text1"/>
                <w:szCs w:val="21"/>
                <w14:textFill>
                  <w14:solidFill>
                    <w14:schemeClr w14:val="tx1"/>
                  </w14:solidFill>
                </w14:textFill>
              </w:rPr>
            </w:pPr>
            <w:r>
              <w:rPr>
                <w:rFonts w:hint="eastAsia" w:ascii="宋体" w:hAnsi="宋体" w:cs="宋体"/>
                <w:color w:val="000000"/>
                <w:kern w:val="0"/>
                <w:sz w:val="20"/>
                <w:lang w:bidi="ar"/>
              </w:rPr>
              <w:t>张克</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color w:val="000000" w:themeColor="text1"/>
                <w:szCs w:val="21"/>
                <w14:textFill>
                  <w14:solidFill>
                    <w14:schemeClr w14:val="tx1"/>
                  </w14:solidFill>
                </w14:textFill>
              </w:rPr>
            </w:pPr>
            <w:r>
              <w:rPr>
                <w:rFonts w:hint="eastAsia" w:ascii="宋体" w:hAnsi="宋体" w:cs="宋体"/>
                <w:color w:val="000000"/>
                <w:kern w:val="0"/>
                <w:sz w:val="20"/>
                <w:lang w:bidi="ar"/>
              </w:rPr>
              <w:t>股权董事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2015年5月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color w:val="000000" w:themeColor="text1"/>
                <w:szCs w:val="21"/>
                <w14:textFill>
                  <w14:solidFill>
                    <w14:schemeClr w14:val="tx1"/>
                  </w14:solidFill>
                </w14:textFill>
              </w:rPr>
            </w:pPr>
            <w:r>
              <w:rPr>
                <w:rFonts w:hint="eastAsia" w:ascii="宋体" w:hAnsi="宋体" w:cs="宋体"/>
                <w:color w:val="000000"/>
                <w:kern w:val="0"/>
                <w:sz w:val="20"/>
                <w:lang w:bidi="ar"/>
              </w:rPr>
              <w:t>1974年7月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ind w:right="45" w:rightChars="0"/>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10</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黄祖群</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股权董事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2020年6月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1977年9月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ind w:right="45"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陈长华</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股权董事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2021年12月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1977年5月</w:t>
            </w:r>
          </w:p>
        </w:tc>
        <w:tc>
          <w:tcPr>
            <w:tcW w:w="756" w:type="dxa"/>
            <w:tcBorders>
              <w:top w:val="single" w:color="auto" w:sz="4" w:space="0"/>
              <w:left w:val="nil"/>
              <w:bottom w:val="single" w:color="auto" w:sz="4" w:space="0"/>
              <w:right w:val="single" w:color="auto" w:sz="4" w:space="0"/>
            </w:tcBorders>
            <w:vAlign w:val="center"/>
          </w:tcPr>
          <w:p>
            <w:pPr>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ind w:right="45"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12</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陈宜兵</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股权董事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2015年5月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1966年6月</w:t>
            </w:r>
          </w:p>
        </w:tc>
        <w:tc>
          <w:tcPr>
            <w:tcW w:w="756" w:type="dxa"/>
            <w:tcBorders>
              <w:top w:val="single" w:color="auto" w:sz="4" w:space="0"/>
              <w:left w:val="nil"/>
              <w:bottom w:val="single" w:color="auto" w:sz="4" w:space="0"/>
              <w:right w:val="single" w:color="auto" w:sz="4" w:space="0"/>
            </w:tcBorders>
            <w:vAlign w:val="center"/>
          </w:tcPr>
          <w:p>
            <w:pPr>
              <w:ind w:right="45"/>
              <w:jc w:val="center"/>
              <w:rPr>
                <w:rFonts w:ascii="Calibri" w:hAnsi="Calibri"/>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ascii="宋体" w:hAnsi="宋体" w:cs="宋体"/>
                <w:color w:val="000000"/>
                <w:kern w:val="0"/>
                <w:sz w:val="20"/>
                <w:lang w:bidi="ar"/>
              </w:rPr>
              <w:t>大专</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ind w:right="45"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13</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沈珠谊</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监事长</w:t>
            </w:r>
            <w:r>
              <w:rPr>
                <w:rFonts w:ascii="宋体" w:hAnsi="宋体" w:cs="宋体"/>
                <w:color w:val="000000"/>
                <w:kern w:val="0"/>
                <w:sz w:val="20"/>
                <w:lang w:bidi="ar"/>
              </w:rPr>
              <w:t>、</w:t>
            </w:r>
            <w:r>
              <w:rPr>
                <w:rFonts w:hint="eastAsia" w:ascii="宋体" w:hAnsi="宋体" w:cs="宋体"/>
                <w:color w:val="000000"/>
                <w:kern w:val="0"/>
                <w:sz w:val="20"/>
                <w:lang w:bidi="ar"/>
              </w:rPr>
              <w:t>职工监事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2019年6月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1971年6月</w:t>
            </w:r>
          </w:p>
        </w:tc>
        <w:tc>
          <w:tcPr>
            <w:tcW w:w="756" w:type="dxa"/>
            <w:tcBorders>
              <w:top w:val="single" w:color="auto" w:sz="4" w:space="0"/>
              <w:left w:val="nil"/>
              <w:bottom w:val="single" w:color="auto" w:sz="4" w:space="0"/>
              <w:right w:val="single" w:color="auto" w:sz="4" w:space="0"/>
            </w:tcBorders>
            <w:vAlign w:val="center"/>
          </w:tcPr>
          <w:p>
            <w:pPr>
              <w:ind w:right="45"/>
              <w:jc w:val="center"/>
              <w:rPr>
                <w:rFonts w:ascii="Calibri" w:hAnsi="Calibri"/>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ind w:right="45"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14</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郁文华</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职工监事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2016年2月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 w:val="20"/>
                <w:lang w:bidi="ar"/>
              </w:rPr>
              <w:t>1969年8月</w:t>
            </w:r>
          </w:p>
        </w:tc>
        <w:tc>
          <w:tcPr>
            <w:tcW w:w="756" w:type="dxa"/>
            <w:tcBorders>
              <w:top w:val="single" w:color="auto" w:sz="4" w:space="0"/>
              <w:left w:val="nil"/>
              <w:bottom w:val="single" w:color="auto" w:sz="4" w:space="0"/>
              <w:right w:val="single" w:color="auto" w:sz="4" w:space="0"/>
            </w:tcBorders>
            <w:vAlign w:val="center"/>
          </w:tcPr>
          <w:p>
            <w:pPr>
              <w:ind w:right="45"/>
              <w:jc w:val="center"/>
              <w:rPr>
                <w:rFonts w:ascii="Calibri" w:hAnsi="Calibri"/>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r>
              <w:rPr>
                <w:rFonts w:hint="eastAsia" w:ascii="宋体" w:hAnsi="宋体" w:cs="宋体"/>
                <w:color w:val="000000" w:themeColor="text1"/>
                <w:kern w:val="0"/>
                <w:szCs w:val="21"/>
                <w:lang w:val="en-US" w:eastAsia="zh-CN"/>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3478</w:t>
            </w: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ind w:right="45"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15</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邵明春</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女</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职工监事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2021年12月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1977年2月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70</w:t>
            </w:r>
            <w:r>
              <w:rPr>
                <w:rFonts w:hint="eastAsia" w:ascii="宋体" w:hAnsi="宋体" w:cs="宋体"/>
                <w:color w:val="000000" w:themeColor="text1"/>
                <w:kern w:val="0"/>
                <w:szCs w:val="21"/>
                <w:lang w:val="en-US" w:eastAsia="zh-CN"/>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0464</w:t>
            </w: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16</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徐劲</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职工监事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2021年12月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1971年6月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大专</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17</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金光宝</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职工监事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2015年5月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1967年6月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大专</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18</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陈明华</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职工监事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2011年12月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1961年12月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大专</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19</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张  卫</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女</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职工监事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2018年3月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1970年5月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大学</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324</w:t>
            </w:r>
            <w:r>
              <w:rPr>
                <w:rFonts w:hint="eastAsia" w:ascii="宋体" w:hAnsi="宋体" w:cs="宋体"/>
                <w:color w:val="000000" w:themeColor="text1"/>
                <w:kern w:val="0"/>
                <w:szCs w:val="21"/>
                <w:lang w:val="en-US" w:eastAsia="zh-CN"/>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0431</w:t>
            </w: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20</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钱兆春</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职工监事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2011年12月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1968年3月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大专</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489</w:t>
            </w:r>
            <w:r>
              <w:rPr>
                <w:rFonts w:hint="eastAsia" w:ascii="宋体" w:hAnsi="宋体" w:cs="宋体"/>
                <w:color w:val="000000" w:themeColor="text1"/>
                <w:kern w:val="0"/>
                <w:szCs w:val="21"/>
                <w:lang w:val="en-US" w:eastAsia="zh-CN"/>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9095</w:t>
            </w: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21</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范邦常</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职工监事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2011年12月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1959年7月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高中</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lang w:val="en-US" w:eastAsia="zh-CN"/>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6291</w:t>
            </w: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22</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刘艳华</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外部监事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2019年4月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1957年11月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硕士</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23</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杜晓荣</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女</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外部监事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2020年4月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1968年6月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博士</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24</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黄俊青</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外部监事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2021年12月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1961年3月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硕士</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25</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武秀敏</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kern w:val="0"/>
                <w:sz w:val="20"/>
                <w:lang w:bidi="ar"/>
              </w:rPr>
              <w:t>外部监事</w:t>
            </w:r>
            <w:r>
              <w:rPr>
                <w:rFonts w:hint="eastAsia" w:ascii="宋体" w:hAnsi="宋体" w:cs="宋体"/>
                <w:color w:val="000000"/>
                <w:kern w:val="0"/>
                <w:sz w:val="20"/>
                <w:lang w:eastAsia="zh-CN" w:bidi="ar"/>
              </w:rPr>
              <w:t>、</w:t>
            </w:r>
            <w:r>
              <w:rPr>
                <w:rFonts w:hint="eastAsia" w:ascii="宋体" w:hAnsi="宋体" w:cs="宋体"/>
                <w:color w:val="000000"/>
                <w:kern w:val="0"/>
                <w:sz w:val="20"/>
                <w:lang w:val="en-US" w:eastAsia="zh-CN" w:bidi="ar"/>
              </w:rPr>
              <w:t>拟任独立董事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仿宋_GB2312" w:hAnsi="仿宋_GB2312" w:eastAsia="仿宋_GB2312" w:cs="仿宋_GB2312"/>
                <w:color w:val="000000"/>
                <w:kern w:val="0"/>
                <w:sz w:val="13"/>
                <w:szCs w:val="13"/>
                <w:lang w:bidi="ar"/>
              </w:rPr>
              <w:t>2021年12月</w:t>
            </w:r>
            <w:r>
              <w:rPr>
                <w:rFonts w:hint="eastAsia" w:ascii="仿宋_GB2312" w:hAnsi="仿宋_GB2312" w:eastAsia="仿宋_GB2312" w:cs="仿宋_GB2312"/>
                <w:color w:val="000000"/>
                <w:kern w:val="0"/>
                <w:sz w:val="13"/>
                <w:szCs w:val="13"/>
                <w:lang w:val="en-US" w:eastAsia="zh-CN" w:bidi="ar"/>
              </w:rPr>
              <w:t>至2025年6月、2025年8月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1963年3月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大专</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26</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侯海军</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kern w:val="0"/>
                <w:sz w:val="20"/>
                <w:lang w:bidi="ar"/>
              </w:rPr>
              <w:t>外部监事</w:t>
            </w:r>
            <w:r>
              <w:rPr>
                <w:rFonts w:hint="eastAsia" w:ascii="宋体" w:hAnsi="宋体" w:cs="宋体"/>
                <w:color w:val="000000"/>
                <w:kern w:val="0"/>
                <w:sz w:val="20"/>
                <w:lang w:eastAsia="zh-CN" w:bidi="ar"/>
              </w:rPr>
              <w:t>、</w:t>
            </w:r>
            <w:r>
              <w:rPr>
                <w:rFonts w:hint="eastAsia" w:ascii="宋体" w:hAnsi="宋体" w:cs="宋体"/>
                <w:color w:val="000000"/>
                <w:kern w:val="0"/>
                <w:sz w:val="20"/>
                <w:lang w:val="en-US" w:eastAsia="zh-CN" w:bidi="ar"/>
              </w:rPr>
              <w:t>拟任独立董事</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cs="宋体"/>
                <w:color w:val="000000" w:themeColor="text1"/>
                <w:kern w:val="0"/>
                <w:szCs w:val="21"/>
                <w:lang w:val="en-US"/>
                <w14:textFill>
                  <w14:solidFill>
                    <w14:schemeClr w14:val="tx1"/>
                  </w14:solidFill>
                </w14:textFill>
              </w:rPr>
            </w:pPr>
            <w:r>
              <w:rPr>
                <w:rFonts w:hint="eastAsia" w:ascii="仿宋_GB2312" w:hAnsi="仿宋_GB2312" w:eastAsia="仿宋_GB2312" w:cs="仿宋_GB2312"/>
                <w:color w:val="000000"/>
                <w:kern w:val="0"/>
                <w:sz w:val="13"/>
                <w:szCs w:val="13"/>
                <w:lang w:bidi="ar"/>
              </w:rPr>
              <w:t>2021年12月</w:t>
            </w:r>
            <w:r>
              <w:rPr>
                <w:rFonts w:hint="eastAsia" w:ascii="仿宋_GB2312" w:hAnsi="仿宋_GB2312" w:eastAsia="仿宋_GB2312" w:cs="仿宋_GB2312"/>
                <w:color w:val="000000"/>
                <w:kern w:val="0"/>
                <w:sz w:val="13"/>
                <w:szCs w:val="13"/>
                <w:lang w:val="en-US" w:eastAsia="zh-CN" w:bidi="ar"/>
              </w:rPr>
              <w:t>至2025年6月、2025年8月</w:t>
            </w:r>
            <w:r>
              <w:rPr>
                <w:rFonts w:hint="eastAsia" w:ascii="宋体" w:hAnsi="宋体" w:cs="宋体"/>
                <w:color w:val="000000"/>
                <w:kern w:val="0"/>
                <w:sz w:val="20"/>
                <w:lang w:val="en-US" w:eastAsia="zh-CN" w:bidi="ar"/>
              </w:rPr>
              <w:t>20252025</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1972年2月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博士</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27</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陈清</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副行长</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2025年8月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0"/>
                <w:lang w:val="en-US" w:eastAsia="zh-CN" w:bidi="ar"/>
              </w:rPr>
            </w:pPr>
            <w:r>
              <w:rPr>
                <w:rFonts w:hint="eastAsia" w:ascii="宋体" w:hAnsi="宋体" w:cs="宋体"/>
                <w:color w:val="000000"/>
                <w:kern w:val="0"/>
                <w:sz w:val="20"/>
                <w:lang w:bidi="ar"/>
              </w:rPr>
              <w:t>19</w:t>
            </w:r>
            <w:r>
              <w:rPr>
                <w:rFonts w:hint="eastAsia" w:ascii="宋体" w:hAnsi="宋体" w:cs="宋体"/>
                <w:color w:val="000000"/>
                <w:kern w:val="0"/>
                <w:sz w:val="20"/>
                <w:lang w:val="en-US" w:eastAsia="zh-CN" w:bidi="ar"/>
              </w:rPr>
              <w:t>83</w:t>
            </w:r>
            <w:r>
              <w:rPr>
                <w:rFonts w:hint="eastAsia" w:ascii="宋体" w:hAnsi="宋体" w:cs="宋体"/>
                <w:color w:val="000000"/>
                <w:kern w:val="0"/>
                <w:sz w:val="20"/>
                <w:lang w:bidi="ar"/>
              </w:rPr>
              <w:t>年11</w:t>
            </w:r>
            <w:r>
              <w:rPr>
                <w:rFonts w:hint="eastAsia" w:ascii="宋体" w:hAnsi="宋体" w:cs="宋体"/>
                <w:color w:val="000000"/>
                <w:kern w:val="0"/>
                <w:sz w:val="20"/>
                <w:lang w:val="en-US" w:eastAsia="zh-CN" w:bidi="ar"/>
              </w:rPr>
              <w:t>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硕士</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28</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孟祥法</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 w:val="20"/>
                <w:lang w:bidi="ar"/>
              </w:rPr>
            </w:pPr>
            <w:r>
              <w:rPr>
                <w:rFonts w:hint="eastAsia" w:ascii="宋体" w:hAnsi="宋体" w:cs="宋体"/>
                <w:color w:val="000000"/>
                <w:kern w:val="0"/>
                <w:sz w:val="20"/>
                <w:lang w:val="en-US" w:eastAsia="zh-CN" w:bidi="ar"/>
              </w:rPr>
              <w:t>副行长</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2025年8月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bidi="ar"/>
              </w:rPr>
              <w:t>1976年11月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29</w:t>
            </w:r>
          </w:p>
        </w:tc>
        <w:tc>
          <w:tcPr>
            <w:tcW w:w="1105"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张继甫</w:t>
            </w:r>
          </w:p>
        </w:tc>
        <w:tc>
          <w:tcPr>
            <w:tcW w:w="554"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男</w:t>
            </w:r>
          </w:p>
        </w:tc>
        <w:tc>
          <w:tcPr>
            <w:tcW w:w="1493"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副行长</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2021年12月</w:t>
            </w:r>
          </w:p>
        </w:tc>
        <w:tc>
          <w:tcPr>
            <w:tcW w:w="1159"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1976年11月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硕士</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30</w:t>
            </w:r>
          </w:p>
        </w:tc>
        <w:tc>
          <w:tcPr>
            <w:tcW w:w="1105" w:type="dxa"/>
            <w:tcBorders>
              <w:top w:val="single" w:color="auto" w:sz="4" w:space="0"/>
              <w:left w:val="nil"/>
              <w:bottom w:val="single" w:color="auto" w:sz="4" w:space="0"/>
              <w:right w:val="single" w:color="auto" w:sz="4" w:space="0"/>
            </w:tcBorders>
            <w:vAlign w:val="center"/>
          </w:tcPr>
          <w:p>
            <w:pPr>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余波</w:t>
            </w:r>
          </w:p>
        </w:tc>
        <w:tc>
          <w:tcPr>
            <w:tcW w:w="554"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男</w:t>
            </w:r>
          </w:p>
        </w:tc>
        <w:tc>
          <w:tcPr>
            <w:tcW w:w="1493" w:type="dxa"/>
            <w:tcBorders>
              <w:top w:val="single" w:color="auto" w:sz="4" w:space="0"/>
              <w:left w:val="nil"/>
              <w:bottom w:val="single" w:color="auto" w:sz="4" w:space="0"/>
              <w:right w:val="single" w:color="auto" w:sz="4" w:space="0"/>
            </w:tcBorders>
            <w:vAlign w:val="center"/>
          </w:tcPr>
          <w:p>
            <w:pPr>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val="en-US" w:eastAsia="zh-CN" w:bidi="ar"/>
              </w:rPr>
              <w:t>离任</w:t>
            </w:r>
            <w:r>
              <w:rPr>
                <w:rFonts w:hint="eastAsia" w:ascii="宋体" w:hAnsi="宋体" w:cs="宋体"/>
                <w:color w:val="000000"/>
                <w:kern w:val="0"/>
                <w:sz w:val="20"/>
                <w:lang w:bidi="ar"/>
              </w:rPr>
              <w:t>副行长</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2021年12月</w:t>
            </w:r>
            <w:r>
              <w:rPr>
                <w:rFonts w:hint="eastAsia" w:ascii="宋体" w:hAnsi="宋体" w:cs="宋体"/>
                <w:color w:val="000000"/>
                <w:kern w:val="0"/>
                <w:sz w:val="20"/>
                <w:lang w:val="en-US" w:eastAsia="zh-CN" w:bidi="ar"/>
              </w:rPr>
              <w:t>至2025年6月</w:t>
            </w:r>
          </w:p>
        </w:tc>
        <w:tc>
          <w:tcPr>
            <w:tcW w:w="1159" w:type="dxa"/>
            <w:tcBorders>
              <w:top w:val="single" w:color="auto" w:sz="4" w:space="0"/>
              <w:left w:val="nil"/>
              <w:bottom w:val="single" w:color="auto" w:sz="4" w:space="0"/>
              <w:right w:val="single" w:color="auto" w:sz="4" w:space="0"/>
            </w:tcBorders>
            <w:vAlign w:val="center"/>
          </w:tcPr>
          <w:p>
            <w:pPr>
              <w:widowControl/>
              <w:ind w:right="45"/>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1983年12月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52" w:type="dxa"/>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31</w:t>
            </w:r>
          </w:p>
        </w:tc>
        <w:tc>
          <w:tcPr>
            <w:tcW w:w="1105" w:type="dxa"/>
            <w:tcBorders>
              <w:top w:val="single" w:color="auto" w:sz="4" w:space="0"/>
              <w:left w:val="nil"/>
              <w:bottom w:val="single" w:color="auto" w:sz="4" w:space="0"/>
              <w:right w:val="single" w:color="auto" w:sz="4" w:space="0"/>
            </w:tcBorders>
            <w:vAlign w:val="center"/>
          </w:tcPr>
          <w:p>
            <w:pPr>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李柯铭</w:t>
            </w:r>
          </w:p>
        </w:tc>
        <w:tc>
          <w:tcPr>
            <w:tcW w:w="554"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男</w:t>
            </w:r>
          </w:p>
        </w:tc>
        <w:tc>
          <w:tcPr>
            <w:tcW w:w="1493" w:type="dxa"/>
            <w:tcBorders>
              <w:top w:val="single" w:color="auto" w:sz="4" w:space="0"/>
              <w:left w:val="nil"/>
              <w:bottom w:val="single" w:color="auto" w:sz="4" w:space="0"/>
              <w:right w:val="single" w:color="auto" w:sz="4" w:space="0"/>
            </w:tcBorders>
            <w:vAlign w:val="center"/>
          </w:tcPr>
          <w:p>
            <w:pPr>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 w:val="20"/>
                <w:lang w:bidi="ar"/>
              </w:rPr>
              <w:t>副行长</w:t>
            </w:r>
          </w:p>
        </w:tc>
        <w:tc>
          <w:tcPr>
            <w:tcW w:w="1647" w:type="dxa"/>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2022年7月</w:t>
            </w:r>
          </w:p>
        </w:tc>
        <w:tc>
          <w:tcPr>
            <w:tcW w:w="1159" w:type="dxa"/>
            <w:tcBorders>
              <w:top w:val="single" w:color="auto" w:sz="4" w:space="0"/>
              <w:left w:val="nil"/>
              <w:bottom w:val="single" w:color="auto" w:sz="4" w:space="0"/>
              <w:right w:val="single" w:color="auto" w:sz="4" w:space="0"/>
            </w:tcBorders>
            <w:vAlign w:val="center"/>
          </w:tcPr>
          <w:p>
            <w:pPr>
              <w:widowControl/>
              <w:ind w:right="45"/>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1978年9月</w:t>
            </w:r>
          </w:p>
        </w:tc>
        <w:tc>
          <w:tcPr>
            <w:tcW w:w="756"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汉</w:t>
            </w:r>
          </w:p>
        </w:tc>
        <w:tc>
          <w:tcPr>
            <w:tcW w:w="970"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本科</w:t>
            </w:r>
          </w:p>
        </w:tc>
        <w:tc>
          <w:tcPr>
            <w:tcW w:w="1458" w:type="dxa"/>
            <w:tcBorders>
              <w:top w:val="single" w:color="auto" w:sz="4" w:space="0"/>
              <w:left w:val="nil"/>
              <w:bottom w:val="single" w:color="auto" w:sz="4" w:space="0"/>
              <w:right w:val="single" w:color="auto" w:sz="4" w:space="0"/>
            </w:tcBorders>
            <w:vAlign w:val="center"/>
          </w:tcPr>
          <w:p>
            <w:pPr>
              <w:widowControl/>
              <w:ind w:right="45"/>
              <w:jc w:val="center"/>
              <w:rPr>
                <w:rFonts w:ascii="宋体" w:hAnsi="宋体" w:cs="宋体"/>
                <w:color w:val="000000" w:themeColor="text1"/>
                <w:kern w:val="0"/>
                <w:szCs w:val="21"/>
                <w14:textFill>
                  <w14:solidFill>
                    <w14:schemeClr w14:val="tx1"/>
                  </w14:solidFill>
                </w14:textFill>
              </w:rPr>
            </w:pPr>
          </w:p>
        </w:tc>
      </w:tr>
    </w:tbl>
    <w:p>
      <w:pPr>
        <w:adjustRightInd w:val="0"/>
        <w:snapToGrid w:val="0"/>
        <w:spacing w:line="560" w:lineRule="exact"/>
        <w:ind w:firstLine="643" w:firstLineChars="200"/>
        <w:rPr>
          <w:rFonts w:ascii="仿宋_GB2312" w:hAnsi="宋体" w:eastAsia="仿宋_GB2312" w:cs="Arial"/>
          <w:b/>
          <w:color w:val="000000" w:themeColor="text1"/>
          <w:sz w:val="32"/>
          <w:szCs w:val="32"/>
          <w14:textFill>
            <w14:solidFill>
              <w14:schemeClr w14:val="tx1"/>
            </w14:solidFill>
          </w14:textFill>
        </w:rPr>
      </w:pPr>
      <w:r>
        <w:rPr>
          <w:rFonts w:hint="eastAsia" w:ascii="仿宋_GB2312" w:hAnsi="宋体" w:eastAsia="仿宋_GB2312" w:cs="Arial"/>
          <w:b/>
          <w:color w:val="000000" w:themeColor="text1"/>
          <w:sz w:val="32"/>
          <w:szCs w:val="32"/>
          <w14:textFill>
            <w14:solidFill>
              <w14:schemeClr w14:val="tx1"/>
            </w14:solidFill>
          </w14:textFill>
        </w:rPr>
        <w:t>（二）报告期内董事、监事、高级管理人员离、聘任情况</w:t>
      </w:r>
    </w:p>
    <w:p>
      <w:pPr>
        <w:pStyle w:val="10"/>
        <w:spacing w:line="560" w:lineRule="exact"/>
        <w:ind w:firstLine="640" w:firstLineChars="200"/>
        <w:rPr>
          <w:rFonts w:ascii="仿宋_GB2312" w:hAnsi="宋体" w:eastAsia="仿宋_GB2312" w:cs="Courier New"/>
          <w:color w:val="000000" w:themeColor="text1"/>
          <w:sz w:val="32"/>
          <w:szCs w:val="32"/>
          <w:highlight w:val="none"/>
          <w14:textFill>
            <w14:solidFill>
              <w14:schemeClr w14:val="tx1"/>
            </w14:solidFill>
          </w14:textFill>
        </w:rPr>
      </w:pPr>
      <w:r>
        <w:rPr>
          <w:rFonts w:hint="eastAsia" w:ascii="仿宋_GB2312" w:hAnsi="Calibri" w:eastAsia="仿宋_GB2312"/>
          <w:sz w:val="32"/>
          <w:szCs w:val="32"/>
        </w:rPr>
        <w:t>报告期内，</w:t>
      </w:r>
      <w:r>
        <w:rPr>
          <w:rFonts w:hint="eastAsia" w:ascii="仿宋_GB2312" w:hAnsi="Calibri" w:eastAsia="仿宋_GB2312"/>
          <w:sz w:val="32"/>
          <w:szCs w:val="32"/>
          <w:lang w:val="en-US" w:eastAsia="zh-CN"/>
        </w:rPr>
        <w:t>监事会撤销，第四届监事均离任，聘任陈庚新为行长、执行公司事务董事，聘任陈清、孟祥法为副行长，续聘张继甫、李柯铭为副行长，夏浩博（行长、执行董事）、朱雪松（副行长、执行董事）、周建伟（副行长、执行董事）、余波副行长离任</w:t>
      </w:r>
      <w:r>
        <w:rPr>
          <w:rFonts w:hint="eastAsia" w:ascii="仿宋_GB2312" w:hAnsi="宋体" w:eastAsia="仿宋_GB2312" w:cs="Courier New"/>
          <w:color w:val="000000" w:themeColor="text1"/>
          <w:sz w:val="32"/>
          <w:szCs w:val="32"/>
          <w:highlight w:val="none"/>
          <w14:textFill>
            <w14:solidFill>
              <w14:schemeClr w14:val="tx1"/>
            </w14:solidFill>
          </w14:textFill>
        </w:rPr>
        <w:t>。</w:t>
      </w:r>
    </w:p>
    <w:p>
      <w:pPr>
        <w:numPr>
          <w:ilvl w:val="0"/>
          <w:numId w:val="1"/>
        </w:numPr>
        <w:adjustRightInd w:val="0"/>
        <w:snapToGrid w:val="0"/>
        <w:spacing w:line="560" w:lineRule="exact"/>
        <w:ind w:firstLine="643" w:firstLineChars="200"/>
        <w:rPr>
          <w:rFonts w:hint="eastAsia" w:ascii="仿宋_GB2312" w:hAnsi="宋体" w:eastAsia="仿宋_GB2312" w:cs="Arial"/>
          <w:b/>
          <w:color w:val="000000" w:themeColor="text1"/>
          <w:sz w:val="32"/>
          <w:szCs w:val="32"/>
          <w:highlight w:val="none"/>
          <w14:textFill>
            <w14:solidFill>
              <w14:schemeClr w14:val="tx1"/>
            </w14:solidFill>
          </w14:textFill>
        </w:rPr>
      </w:pPr>
      <w:r>
        <w:rPr>
          <w:rFonts w:hint="eastAsia" w:ascii="仿宋_GB2312" w:hAnsi="宋体" w:eastAsia="仿宋_GB2312" w:cs="Arial"/>
          <w:b/>
          <w:color w:val="000000" w:themeColor="text1"/>
          <w:sz w:val="32"/>
          <w:szCs w:val="32"/>
          <w:highlight w:val="none"/>
          <w14:textFill>
            <w14:solidFill>
              <w14:schemeClr w14:val="tx1"/>
            </w14:solidFill>
          </w14:textFill>
        </w:rPr>
        <w:t>员工情况</w:t>
      </w:r>
    </w:p>
    <w:p>
      <w:pPr>
        <w:widowControl/>
        <w:spacing w:line="555" w:lineRule="atLeast"/>
        <w:ind w:left="150" w:right="150" w:firstLine="645"/>
        <w:jc w:val="left"/>
        <w:rPr>
          <w:rFonts w:ascii="微软雅黑" w:hAnsi="微软雅黑" w:eastAsia="微软雅黑" w:cs="宋体"/>
          <w:kern w:val="0"/>
          <w:sz w:val="24"/>
          <w:szCs w:val="24"/>
        </w:rPr>
      </w:pPr>
      <w:r>
        <w:rPr>
          <w:rFonts w:hint="eastAsia" w:ascii="仿宋_GB2312" w:hAnsi="微软雅黑" w:eastAsia="仿宋_GB2312" w:cs="宋体"/>
          <w:b/>
          <w:bCs/>
          <w:kern w:val="0"/>
          <w:sz w:val="32"/>
          <w:szCs w:val="32"/>
        </w:rPr>
        <w:t>（一）人数及其变化情况</w:t>
      </w:r>
    </w:p>
    <w:p>
      <w:pPr>
        <w:widowControl/>
        <w:shd w:val="clear" w:color="auto" w:fill="FFFFFF"/>
        <w:spacing w:line="555" w:lineRule="atLeast"/>
        <w:ind w:left="150" w:right="150" w:firstLine="645"/>
        <w:jc w:val="left"/>
        <w:rPr>
          <w:rFonts w:ascii="微软雅黑" w:hAnsi="微软雅黑" w:eastAsia="微软雅黑" w:cs="宋体"/>
          <w:kern w:val="0"/>
          <w:sz w:val="24"/>
          <w:szCs w:val="24"/>
        </w:rPr>
      </w:pPr>
      <w:r>
        <w:rPr>
          <w:rFonts w:hint="eastAsia" w:ascii="仿宋_GB2312" w:hAnsi="微软雅黑" w:eastAsia="仿宋_GB2312" w:cs="宋体"/>
          <w:kern w:val="0"/>
          <w:sz w:val="32"/>
          <w:szCs w:val="32"/>
        </w:rPr>
        <w:t>截止报告期末，本公司在编员工人数为</w:t>
      </w:r>
      <w:r>
        <w:rPr>
          <w:rFonts w:ascii="仿宋_GB2312" w:hAnsi="微软雅黑" w:eastAsia="仿宋_GB2312" w:cs="宋体"/>
          <w:kern w:val="0"/>
          <w:sz w:val="32"/>
          <w:szCs w:val="32"/>
        </w:rPr>
        <w:t>668</w:t>
      </w:r>
      <w:r>
        <w:rPr>
          <w:rFonts w:hint="eastAsia" w:ascii="仿宋_GB2312" w:hAnsi="微软雅黑" w:eastAsia="仿宋_GB2312" w:cs="宋体"/>
          <w:kern w:val="0"/>
          <w:sz w:val="32"/>
          <w:szCs w:val="32"/>
        </w:rPr>
        <w:t>人。</w:t>
      </w:r>
    </w:p>
    <w:tbl>
      <w:tblPr>
        <w:tblStyle w:val="16"/>
        <w:tblW w:w="4951" w:type="pct"/>
        <w:tblInd w:w="40" w:type="dxa"/>
        <w:tblLayout w:type="autofit"/>
        <w:tblCellMar>
          <w:top w:w="0" w:type="dxa"/>
          <w:left w:w="0" w:type="dxa"/>
          <w:bottom w:w="0" w:type="dxa"/>
          <w:right w:w="0" w:type="dxa"/>
        </w:tblCellMar>
      </w:tblPr>
      <w:tblGrid>
        <w:gridCol w:w="2548"/>
        <w:gridCol w:w="1165"/>
        <w:gridCol w:w="4720"/>
      </w:tblGrid>
      <w:tr>
        <w:tblPrEx>
          <w:tblCellMar>
            <w:top w:w="0" w:type="dxa"/>
            <w:left w:w="0" w:type="dxa"/>
            <w:bottom w:w="0" w:type="dxa"/>
            <w:right w:w="0" w:type="dxa"/>
          </w:tblCellMar>
        </w:tblPrEx>
        <w:trPr>
          <w:trHeight w:val="570" w:hRule="atLeast"/>
        </w:trPr>
        <w:tc>
          <w:tcPr>
            <w:tcW w:w="5000" w:type="pct"/>
            <w:gridSpan w:val="3"/>
            <w:tcBorders>
              <w:top w:val="nil"/>
              <w:left w:val="nil"/>
              <w:bottom w:val="single" w:color="auto" w:sz="6" w:space="0"/>
              <w:right w:val="nil"/>
            </w:tcBorders>
            <w:shd w:val="clear" w:color="auto" w:fill="FFFFFF"/>
            <w:noWrap/>
            <w:tcMar>
              <w:top w:w="0" w:type="dxa"/>
              <w:left w:w="105" w:type="dxa"/>
              <w:bottom w:w="0" w:type="dxa"/>
              <w:right w:w="105" w:type="dxa"/>
            </w:tcMar>
            <w:vAlign w:val="center"/>
          </w:tcPr>
          <w:p>
            <w:pPr>
              <w:widowControl/>
              <w:spacing w:line="525" w:lineRule="atLeast"/>
              <w:jc w:val="left"/>
              <w:rPr>
                <w:rFonts w:ascii="微软雅黑" w:hAnsi="微软雅黑" w:eastAsia="微软雅黑" w:cs="宋体"/>
                <w:kern w:val="0"/>
                <w:sz w:val="18"/>
                <w:szCs w:val="18"/>
              </w:rPr>
            </w:pPr>
            <w:r>
              <w:rPr>
                <w:rFonts w:hint="eastAsia" w:ascii="微软雅黑" w:hAnsi="微软雅黑" w:eastAsia="微软雅黑" w:cs="宋体"/>
                <w:b/>
                <w:bCs/>
                <w:kern w:val="0"/>
                <w:sz w:val="32"/>
                <w:szCs w:val="32"/>
              </w:rPr>
              <w:t>      </w:t>
            </w:r>
            <w:r>
              <w:rPr>
                <w:rFonts w:hint="eastAsia" w:ascii="仿宋_GB2312" w:hAnsi="微软雅黑" w:eastAsia="仿宋_GB2312" w:cs="宋体"/>
                <w:b/>
                <w:bCs/>
                <w:kern w:val="0"/>
                <w:sz w:val="32"/>
                <w:szCs w:val="32"/>
              </w:rPr>
              <w:t>（二）员工构成情况</w:t>
            </w:r>
          </w:p>
        </w:tc>
      </w:tr>
      <w:tr>
        <w:tblPrEx>
          <w:tblCellMar>
            <w:top w:w="0" w:type="dxa"/>
            <w:left w:w="0" w:type="dxa"/>
            <w:bottom w:w="0" w:type="dxa"/>
            <w:right w:w="0" w:type="dxa"/>
          </w:tblCellMar>
        </w:tblPrEx>
        <w:trPr>
          <w:trHeight w:val="705" w:hRule="atLeast"/>
        </w:trPr>
        <w:tc>
          <w:tcPr>
            <w:tcW w:w="1511" w:type="pct"/>
            <w:tcBorders>
              <w:top w:val="nil"/>
              <w:left w:val="single" w:color="auto" w:sz="6" w:space="0"/>
              <w:bottom w:val="single" w:color="auto" w:sz="6" w:space="0"/>
              <w:right w:val="single" w:color="auto" w:sz="6" w:space="0"/>
            </w:tcBorders>
            <w:shd w:val="clear" w:color="auto" w:fill="BFBFBF"/>
            <w:noWrap/>
            <w:tcMar>
              <w:top w:w="0" w:type="dxa"/>
              <w:left w:w="105" w:type="dxa"/>
              <w:bottom w:w="0" w:type="dxa"/>
              <w:right w:w="105" w:type="dxa"/>
            </w:tcMar>
            <w:vAlign w:val="center"/>
          </w:tcPr>
          <w:p>
            <w:pPr>
              <w:widowControl/>
              <w:jc w:val="center"/>
              <w:rPr>
                <w:b/>
                <w:bCs/>
                <w:sz w:val="23"/>
                <w:szCs w:val="23"/>
              </w:rPr>
            </w:pPr>
            <w:r>
              <w:rPr>
                <w:rFonts w:hint="eastAsia"/>
                <w:b/>
                <w:bCs/>
                <w:sz w:val="23"/>
                <w:szCs w:val="23"/>
              </w:rPr>
              <w:t>人员结构</w:t>
            </w:r>
          </w:p>
        </w:tc>
        <w:tc>
          <w:tcPr>
            <w:tcW w:w="691" w:type="pct"/>
            <w:tcBorders>
              <w:top w:val="nil"/>
              <w:left w:val="nil"/>
              <w:bottom w:val="single" w:color="auto" w:sz="6" w:space="0"/>
              <w:right w:val="single" w:color="auto" w:sz="6" w:space="0"/>
            </w:tcBorders>
            <w:shd w:val="clear" w:color="auto" w:fill="BFBFBF"/>
            <w:noWrap/>
            <w:tcMar>
              <w:top w:w="0" w:type="dxa"/>
              <w:left w:w="105" w:type="dxa"/>
              <w:bottom w:w="0" w:type="dxa"/>
              <w:right w:w="105" w:type="dxa"/>
            </w:tcMar>
            <w:vAlign w:val="center"/>
          </w:tcPr>
          <w:p>
            <w:pPr>
              <w:jc w:val="center"/>
              <w:rPr>
                <w:b/>
                <w:bCs/>
                <w:sz w:val="23"/>
                <w:szCs w:val="23"/>
              </w:rPr>
            </w:pPr>
            <w:r>
              <w:rPr>
                <w:rFonts w:hint="eastAsia"/>
                <w:b/>
                <w:bCs/>
                <w:sz w:val="23"/>
                <w:szCs w:val="23"/>
              </w:rPr>
              <w:t>人数</w:t>
            </w:r>
          </w:p>
        </w:tc>
        <w:tc>
          <w:tcPr>
            <w:tcW w:w="2798" w:type="pct"/>
            <w:tcBorders>
              <w:top w:val="nil"/>
              <w:left w:val="nil"/>
              <w:bottom w:val="single" w:color="auto" w:sz="6" w:space="0"/>
              <w:right w:val="single" w:color="auto" w:sz="6" w:space="0"/>
            </w:tcBorders>
            <w:shd w:val="clear" w:color="auto" w:fill="BFBFBF"/>
            <w:noWrap/>
            <w:tcMar>
              <w:top w:w="0" w:type="dxa"/>
              <w:left w:w="105" w:type="dxa"/>
              <w:bottom w:w="0" w:type="dxa"/>
              <w:right w:w="105" w:type="dxa"/>
            </w:tcMar>
            <w:vAlign w:val="center"/>
          </w:tcPr>
          <w:p>
            <w:pPr>
              <w:jc w:val="center"/>
              <w:rPr>
                <w:b/>
                <w:bCs/>
                <w:sz w:val="23"/>
                <w:szCs w:val="23"/>
              </w:rPr>
            </w:pPr>
            <w:r>
              <w:rPr>
                <w:rFonts w:hint="eastAsia"/>
                <w:b/>
                <w:bCs/>
                <w:sz w:val="23"/>
                <w:szCs w:val="23"/>
              </w:rPr>
              <w:t>占总数百分比（%）</w:t>
            </w:r>
          </w:p>
        </w:tc>
      </w:tr>
      <w:tr>
        <w:tblPrEx>
          <w:tblCellMar>
            <w:top w:w="0" w:type="dxa"/>
            <w:left w:w="0" w:type="dxa"/>
            <w:bottom w:w="0" w:type="dxa"/>
            <w:right w:w="0" w:type="dxa"/>
          </w:tblCellMar>
        </w:tblPrEx>
        <w:trPr>
          <w:trHeight w:val="435" w:hRule="atLeast"/>
        </w:trPr>
        <w:tc>
          <w:tcPr>
            <w:tcW w:w="1511" w:type="pct"/>
            <w:tcBorders>
              <w:top w:val="nil"/>
              <w:left w:val="single" w:color="auto" w:sz="6" w:space="0"/>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管理人员</w:t>
            </w:r>
          </w:p>
        </w:tc>
        <w:tc>
          <w:tcPr>
            <w:tcW w:w="691"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widowControl/>
              <w:jc w:val="center"/>
              <w:rPr>
                <w:kern w:val="0"/>
                <w:sz w:val="23"/>
                <w:szCs w:val="23"/>
              </w:rPr>
            </w:pPr>
            <w:r>
              <w:rPr>
                <w:rFonts w:hint="eastAsia"/>
                <w:sz w:val="23"/>
                <w:szCs w:val="23"/>
              </w:rPr>
              <w:t>88</w:t>
            </w:r>
          </w:p>
        </w:tc>
        <w:tc>
          <w:tcPr>
            <w:tcW w:w="2798"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 xml:space="preserve">13.17 </w:t>
            </w:r>
          </w:p>
        </w:tc>
      </w:tr>
      <w:tr>
        <w:tblPrEx>
          <w:tblCellMar>
            <w:top w:w="0" w:type="dxa"/>
            <w:left w:w="0" w:type="dxa"/>
            <w:bottom w:w="0" w:type="dxa"/>
            <w:right w:w="0" w:type="dxa"/>
          </w:tblCellMar>
        </w:tblPrEx>
        <w:trPr>
          <w:trHeight w:val="435" w:hRule="atLeast"/>
        </w:trPr>
        <w:tc>
          <w:tcPr>
            <w:tcW w:w="1511" w:type="pct"/>
            <w:tcBorders>
              <w:top w:val="nil"/>
              <w:left w:val="single" w:color="auto" w:sz="6" w:space="0"/>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业务人员</w:t>
            </w:r>
          </w:p>
        </w:tc>
        <w:tc>
          <w:tcPr>
            <w:tcW w:w="691"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580</w:t>
            </w:r>
          </w:p>
        </w:tc>
        <w:tc>
          <w:tcPr>
            <w:tcW w:w="2798"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 xml:space="preserve">86.83 </w:t>
            </w:r>
          </w:p>
        </w:tc>
      </w:tr>
      <w:tr>
        <w:tblPrEx>
          <w:tblCellMar>
            <w:top w:w="0" w:type="dxa"/>
            <w:left w:w="0" w:type="dxa"/>
            <w:bottom w:w="0" w:type="dxa"/>
            <w:right w:w="0" w:type="dxa"/>
          </w:tblCellMar>
        </w:tblPrEx>
        <w:trPr>
          <w:trHeight w:val="435" w:hRule="atLeast"/>
        </w:trPr>
        <w:tc>
          <w:tcPr>
            <w:tcW w:w="1511" w:type="pct"/>
            <w:tcBorders>
              <w:top w:val="nil"/>
              <w:left w:val="single" w:color="auto" w:sz="6" w:space="0"/>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合计</w:t>
            </w:r>
          </w:p>
        </w:tc>
        <w:tc>
          <w:tcPr>
            <w:tcW w:w="691"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668</w:t>
            </w:r>
          </w:p>
        </w:tc>
        <w:tc>
          <w:tcPr>
            <w:tcW w:w="2798"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left"/>
              <w:rPr>
                <w:rFonts w:ascii="等线" w:hAnsi="等线" w:eastAsia="等线"/>
                <w:szCs w:val="21"/>
              </w:rPr>
            </w:pPr>
            <w:r>
              <w:rPr>
                <w:rFonts w:hint="eastAsia" w:ascii="等线" w:hAnsi="等线" w:eastAsia="等线"/>
                <w:szCs w:val="21"/>
              </w:rPr>
              <w:t>　</w:t>
            </w:r>
          </w:p>
        </w:tc>
      </w:tr>
      <w:tr>
        <w:tblPrEx>
          <w:tblCellMar>
            <w:top w:w="0" w:type="dxa"/>
            <w:left w:w="0" w:type="dxa"/>
            <w:bottom w:w="0" w:type="dxa"/>
            <w:right w:w="0" w:type="dxa"/>
          </w:tblCellMar>
        </w:tblPrEx>
        <w:trPr>
          <w:trHeight w:val="630" w:hRule="atLeast"/>
        </w:trPr>
        <w:tc>
          <w:tcPr>
            <w:tcW w:w="5000" w:type="pct"/>
            <w:gridSpan w:val="3"/>
            <w:tcBorders>
              <w:top w:val="nil"/>
              <w:left w:val="nil"/>
              <w:bottom w:val="single" w:color="auto" w:sz="6" w:space="0"/>
              <w:right w:val="nil"/>
            </w:tcBorders>
            <w:shd w:val="clear" w:color="auto" w:fill="FFFFFF"/>
            <w:noWrap/>
            <w:tcMar>
              <w:top w:w="0" w:type="dxa"/>
              <w:left w:w="105" w:type="dxa"/>
              <w:bottom w:w="0" w:type="dxa"/>
              <w:right w:w="105" w:type="dxa"/>
            </w:tcMar>
            <w:vAlign w:val="center"/>
          </w:tcPr>
          <w:p>
            <w:pPr>
              <w:widowControl/>
              <w:jc w:val="left"/>
              <w:rPr>
                <w:rFonts w:ascii="微软雅黑" w:hAnsi="微软雅黑" w:eastAsia="微软雅黑" w:cs="宋体"/>
                <w:kern w:val="0"/>
                <w:sz w:val="18"/>
                <w:szCs w:val="18"/>
              </w:rPr>
            </w:pPr>
            <w:r>
              <w:rPr>
                <w:rFonts w:hint="eastAsia" w:ascii="微软雅黑" w:hAnsi="微软雅黑" w:eastAsia="微软雅黑" w:cs="宋体"/>
                <w:b/>
                <w:bCs/>
                <w:kern w:val="0"/>
                <w:sz w:val="32"/>
                <w:szCs w:val="32"/>
              </w:rPr>
              <w:t>        </w:t>
            </w:r>
            <w:r>
              <w:rPr>
                <w:rFonts w:hint="eastAsia" w:ascii="仿宋_GB2312" w:hAnsi="微软雅黑" w:eastAsia="仿宋_GB2312" w:cs="宋体"/>
                <w:b/>
                <w:bCs/>
                <w:kern w:val="0"/>
                <w:sz w:val="32"/>
                <w:szCs w:val="32"/>
              </w:rPr>
              <w:t>（三）员工学历构成情况</w:t>
            </w:r>
          </w:p>
        </w:tc>
      </w:tr>
      <w:tr>
        <w:tblPrEx>
          <w:tblCellMar>
            <w:top w:w="0" w:type="dxa"/>
            <w:left w:w="0" w:type="dxa"/>
            <w:bottom w:w="0" w:type="dxa"/>
            <w:right w:w="0" w:type="dxa"/>
          </w:tblCellMar>
        </w:tblPrEx>
        <w:trPr>
          <w:trHeight w:val="630" w:hRule="atLeast"/>
        </w:trPr>
        <w:tc>
          <w:tcPr>
            <w:tcW w:w="1511" w:type="pct"/>
            <w:tcBorders>
              <w:top w:val="nil"/>
              <w:left w:val="single" w:color="auto" w:sz="6" w:space="0"/>
              <w:bottom w:val="single" w:color="auto" w:sz="6" w:space="0"/>
              <w:right w:val="single" w:color="auto" w:sz="6" w:space="0"/>
            </w:tcBorders>
            <w:shd w:val="clear" w:color="auto" w:fill="BFBFBF"/>
            <w:noWrap/>
            <w:tcMar>
              <w:top w:w="0" w:type="dxa"/>
              <w:left w:w="105" w:type="dxa"/>
              <w:bottom w:w="0" w:type="dxa"/>
              <w:right w:w="105" w:type="dxa"/>
            </w:tcMar>
            <w:vAlign w:val="center"/>
          </w:tcPr>
          <w:p>
            <w:pPr>
              <w:widowControl/>
              <w:jc w:val="center"/>
              <w:rPr>
                <w:b/>
                <w:bCs/>
                <w:sz w:val="23"/>
                <w:szCs w:val="23"/>
              </w:rPr>
            </w:pPr>
            <w:r>
              <w:rPr>
                <w:rFonts w:hint="eastAsia"/>
                <w:b/>
                <w:bCs/>
                <w:sz w:val="23"/>
                <w:szCs w:val="23"/>
              </w:rPr>
              <w:t>受教育程度</w:t>
            </w:r>
          </w:p>
        </w:tc>
        <w:tc>
          <w:tcPr>
            <w:tcW w:w="691" w:type="pct"/>
            <w:tcBorders>
              <w:top w:val="nil"/>
              <w:left w:val="nil"/>
              <w:bottom w:val="single" w:color="auto" w:sz="6" w:space="0"/>
              <w:right w:val="single" w:color="auto" w:sz="6" w:space="0"/>
            </w:tcBorders>
            <w:shd w:val="clear" w:color="auto" w:fill="BFBFBF"/>
            <w:noWrap/>
            <w:tcMar>
              <w:top w:w="0" w:type="dxa"/>
              <w:left w:w="105" w:type="dxa"/>
              <w:bottom w:w="0" w:type="dxa"/>
              <w:right w:w="105" w:type="dxa"/>
            </w:tcMar>
            <w:vAlign w:val="center"/>
          </w:tcPr>
          <w:p>
            <w:pPr>
              <w:jc w:val="center"/>
              <w:rPr>
                <w:b/>
                <w:bCs/>
                <w:sz w:val="23"/>
                <w:szCs w:val="23"/>
              </w:rPr>
            </w:pPr>
            <w:r>
              <w:rPr>
                <w:rFonts w:hint="eastAsia"/>
                <w:b/>
                <w:bCs/>
                <w:sz w:val="23"/>
                <w:szCs w:val="23"/>
              </w:rPr>
              <w:t>人数</w:t>
            </w:r>
          </w:p>
        </w:tc>
        <w:tc>
          <w:tcPr>
            <w:tcW w:w="2798" w:type="pct"/>
            <w:tcBorders>
              <w:top w:val="nil"/>
              <w:left w:val="nil"/>
              <w:bottom w:val="single" w:color="auto" w:sz="6" w:space="0"/>
              <w:right w:val="single" w:color="auto" w:sz="6" w:space="0"/>
            </w:tcBorders>
            <w:shd w:val="clear" w:color="auto" w:fill="BFBFBF"/>
            <w:noWrap/>
            <w:tcMar>
              <w:top w:w="0" w:type="dxa"/>
              <w:left w:w="105" w:type="dxa"/>
              <w:bottom w:w="0" w:type="dxa"/>
              <w:right w:w="105" w:type="dxa"/>
            </w:tcMar>
            <w:vAlign w:val="center"/>
          </w:tcPr>
          <w:p>
            <w:pPr>
              <w:jc w:val="center"/>
              <w:rPr>
                <w:b/>
                <w:bCs/>
                <w:sz w:val="23"/>
                <w:szCs w:val="23"/>
              </w:rPr>
            </w:pPr>
            <w:r>
              <w:rPr>
                <w:rFonts w:hint="eastAsia"/>
                <w:b/>
                <w:bCs/>
                <w:sz w:val="23"/>
                <w:szCs w:val="23"/>
              </w:rPr>
              <w:t>占总数百分比（%）</w:t>
            </w:r>
          </w:p>
        </w:tc>
      </w:tr>
      <w:tr>
        <w:tblPrEx>
          <w:tblCellMar>
            <w:top w:w="0" w:type="dxa"/>
            <w:left w:w="0" w:type="dxa"/>
            <w:bottom w:w="0" w:type="dxa"/>
            <w:right w:w="0" w:type="dxa"/>
          </w:tblCellMar>
        </w:tblPrEx>
        <w:trPr>
          <w:trHeight w:val="480" w:hRule="atLeast"/>
        </w:trPr>
        <w:tc>
          <w:tcPr>
            <w:tcW w:w="1511" w:type="pct"/>
            <w:tcBorders>
              <w:top w:val="nil"/>
              <w:left w:val="single" w:color="auto" w:sz="6" w:space="0"/>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研究生及以上</w:t>
            </w:r>
          </w:p>
        </w:tc>
        <w:tc>
          <w:tcPr>
            <w:tcW w:w="691"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widowControl/>
              <w:jc w:val="center"/>
              <w:rPr>
                <w:kern w:val="0"/>
                <w:sz w:val="23"/>
                <w:szCs w:val="23"/>
              </w:rPr>
            </w:pPr>
            <w:r>
              <w:rPr>
                <w:rFonts w:hint="eastAsia"/>
                <w:sz w:val="23"/>
                <w:szCs w:val="23"/>
              </w:rPr>
              <w:t>22</w:t>
            </w:r>
          </w:p>
        </w:tc>
        <w:tc>
          <w:tcPr>
            <w:tcW w:w="2798"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3.29</w:t>
            </w:r>
          </w:p>
        </w:tc>
      </w:tr>
      <w:tr>
        <w:tblPrEx>
          <w:tblCellMar>
            <w:top w:w="0" w:type="dxa"/>
            <w:left w:w="0" w:type="dxa"/>
            <w:bottom w:w="0" w:type="dxa"/>
            <w:right w:w="0" w:type="dxa"/>
          </w:tblCellMar>
        </w:tblPrEx>
        <w:trPr>
          <w:trHeight w:val="480" w:hRule="atLeast"/>
        </w:trPr>
        <w:tc>
          <w:tcPr>
            <w:tcW w:w="1511" w:type="pct"/>
            <w:tcBorders>
              <w:top w:val="nil"/>
              <w:left w:val="single" w:color="auto" w:sz="6" w:space="0"/>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大学本科</w:t>
            </w:r>
          </w:p>
        </w:tc>
        <w:tc>
          <w:tcPr>
            <w:tcW w:w="691"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567</w:t>
            </w:r>
          </w:p>
        </w:tc>
        <w:tc>
          <w:tcPr>
            <w:tcW w:w="2798"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84.88</w:t>
            </w:r>
          </w:p>
        </w:tc>
      </w:tr>
      <w:tr>
        <w:tblPrEx>
          <w:tblCellMar>
            <w:top w:w="0" w:type="dxa"/>
            <w:left w:w="0" w:type="dxa"/>
            <w:bottom w:w="0" w:type="dxa"/>
            <w:right w:w="0" w:type="dxa"/>
          </w:tblCellMar>
        </w:tblPrEx>
        <w:trPr>
          <w:trHeight w:val="480" w:hRule="atLeast"/>
        </w:trPr>
        <w:tc>
          <w:tcPr>
            <w:tcW w:w="1511" w:type="pct"/>
            <w:tcBorders>
              <w:top w:val="nil"/>
              <w:left w:val="single" w:color="auto" w:sz="6" w:space="0"/>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大学专科</w:t>
            </w:r>
          </w:p>
        </w:tc>
        <w:tc>
          <w:tcPr>
            <w:tcW w:w="691"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63</w:t>
            </w:r>
          </w:p>
        </w:tc>
        <w:tc>
          <w:tcPr>
            <w:tcW w:w="2798"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9.43</w:t>
            </w:r>
          </w:p>
        </w:tc>
      </w:tr>
      <w:tr>
        <w:tblPrEx>
          <w:tblCellMar>
            <w:top w:w="0" w:type="dxa"/>
            <w:left w:w="0" w:type="dxa"/>
            <w:bottom w:w="0" w:type="dxa"/>
            <w:right w:w="0" w:type="dxa"/>
          </w:tblCellMar>
        </w:tblPrEx>
        <w:trPr>
          <w:trHeight w:val="480" w:hRule="atLeast"/>
        </w:trPr>
        <w:tc>
          <w:tcPr>
            <w:tcW w:w="1511" w:type="pct"/>
            <w:tcBorders>
              <w:top w:val="nil"/>
              <w:left w:val="single" w:color="auto" w:sz="6" w:space="0"/>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大学专科以下</w:t>
            </w:r>
          </w:p>
        </w:tc>
        <w:tc>
          <w:tcPr>
            <w:tcW w:w="691"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16</w:t>
            </w:r>
          </w:p>
        </w:tc>
        <w:tc>
          <w:tcPr>
            <w:tcW w:w="2798"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2.40</w:t>
            </w:r>
          </w:p>
        </w:tc>
      </w:tr>
      <w:tr>
        <w:tblPrEx>
          <w:tblCellMar>
            <w:top w:w="0" w:type="dxa"/>
            <w:left w:w="0" w:type="dxa"/>
            <w:bottom w:w="0" w:type="dxa"/>
            <w:right w:w="0" w:type="dxa"/>
          </w:tblCellMar>
        </w:tblPrEx>
        <w:trPr>
          <w:trHeight w:val="480" w:hRule="atLeast"/>
        </w:trPr>
        <w:tc>
          <w:tcPr>
            <w:tcW w:w="1511" w:type="pct"/>
            <w:tcBorders>
              <w:top w:val="nil"/>
              <w:left w:val="single" w:color="auto" w:sz="6" w:space="0"/>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合计</w:t>
            </w:r>
          </w:p>
        </w:tc>
        <w:tc>
          <w:tcPr>
            <w:tcW w:w="691"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center"/>
              <w:rPr>
                <w:sz w:val="23"/>
                <w:szCs w:val="23"/>
              </w:rPr>
            </w:pPr>
            <w:r>
              <w:rPr>
                <w:rFonts w:hint="eastAsia"/>
                <w:sz w:val="23"/>
                <w:szCs w:val="23"/>
              </w:rPr>
              <w:t>668</w:t>
            </w:r>
          </w:p>
        </w:tc>
        <w:tc>
          <w:tcPr>
            <w:tcW w:w="2798" w:type="pct"/>
            <w:tcBorders>
              <w:top w:val="nil"/>
              <w:left w:val="nil"/>
              <w:bottom w:val="single" w:color="auto" w:sz="6" w:space="0"/>
              <w:right w:val="single" w:color="auto" w:sz="6" w:space="0"/>
            </w:tcBorders>
            <w:shd w:val="clear" w:color="auto" w:fill="FFFFFF"/>
            <w:noWrap/>
            <w:tcMar>
              <w:top w:w="0" w:type="dxa"/>
              <w:left w:w="105" w:type="dxa"/>
              <w:bottom w:w="0" w:type="dxa"/>
              <w:right w:w="105" w:type="dxa"/>
            </w:tcMar>
            <w:vAlign w:val="center"/>
          </w:tcPr>
          <w:p>
            <w:pPr>
              <w:jc w:val="left"/>
              <w:rPr>
                <w:rFonts w:ascii="等线" w:hAnsi="等线" w:eastAsia="等线"/>
                <w:szCs w:val="21"/>
              </w:rPr>
            </w:pPr>
            <w:r>
              <w:rPr>
                <w:rFonts w:hint="eastAsia" w:ascii="等线" w:hAnsi="等线" w:eastAsia="等线"/>
                <w:szCs w:val="21"/>
              </w:rPr>
              <w:t>　</w:t>
            </w:r>
          </w:p>
        </w:tc>
      </w:tr>
    </w:tbl>
    <w:p>
      <w:pPr>
        <w:widowControl/>
        <w:spacing w:line="555" w:lineRule="atLeast"/>
        <w:ind w:left="147" w:right="147" w:firstLine="646"/>
        <w:rPr>
          <w:rFonts w:ascii="仿宋_GB2312" w:hAnsi="微软雅黑" w:eastAsia="仿宋_GB2312" w:cs="宋体"/>
          <w:kern w:val="0"/>
          <w:sz w:val="32"/>
          <w:szCs w:val="32"/>
        </w:rPr>
      </w:pPr>
    </w:p>
    <w:p/>
    <w:p>
      <w:pPr>
        <w:rPr>
          <w:color w:val="000000" w:themeColor="text1"/>
          <w14:textFill>
            <w14:solidFill>
              <w14:schemeClr w14:val="tx1"/>
            </w14:solidFill>
          </w14:textFill>
        </w:rPr>
      </w:pPr>
    </w:p>
    <w:p>
      <w:pPr>
        <w:pStyle w:val="8"/>
        <w:spacing w:line="520" w:lineRule="exact"/>
        <w:ind w:left="198" w:firstLine="2570" w:firstLineChars="800"/>
        <w:outlineLvl w:val="0"/>
        <w:rPr>
          <w:rFonts w:ascii="黑体" w:hAnsi="黑体" w:eastAsia="黑体"/>
          <w:b/>
          <w:bCs/>
          <w:color w:val="000000" w:themeColor="text1"/>
          <w:sz w:val="32"/>
          <w:szCs w:val="32"/>
          <w14:textFill>
            <w14:solidFill>
              <w14:schemeClr w14:val="tx1"/>
            </w14:solidFill>
          </w14:textFill>
        </w:rPr>
      </w:pPr>
      <w:bookmarkStart w:id="9" w:name="_Toc13731"/>
      <w:r>
        <w:rPr>
          <w:rFonts w:hint="eastAsia" w:ascii="黑体" w:hAnsi="黑体" w:eastAsia="黑体"/>
          <w:b/>
          <w:bCs/>
          <w:color w:val="000000" w:themeColor="text1"/>
          <w:sz w:val="32"/>
          <w:szCs w:val="32"/>
          <w14:textFill>
            <w14:solidFill>
              <w14:schemeClr w14:val="tx1"/>
            </w14:solidFill>
          </w14:textFill>
        </w:rPr>
        <w:t>第</w:t>
      </w:r>
      <w:r>
        <w:rPr>
          <w:rFonts w:ascii="黑体" w:hAnsi="黑体" w:eastAsia="黑体"/>
          <w:b/>
          <w:bCs/>
          <w:color w:val="000000" w:themeColor="text1"/>
          <w:sz w:val="32"/>
          <w:szCs w:val="32"/>
          <w14:textFill>
            <w14:solidFill>
              <w14:schemeClr w14:val="tx1"/>
            </w14:solidFill>
          </w14:textFill>
        </w:rPr>
        <w:t>六节</w:t>
      </w:r>
      <w:r>
        <w:rPr>
          <w:rFonts w:hint="eastAsia" w:ascii="黑体" w:hAnsi="黑体" w:eastAsia="黑体"/>
          <w:b/>
          <w:bCs/>
          <w:color w:val="000000" w:themeColor="text1"/>
          <w:sz w:val="32"/>
          <w:szCs w:val="32"/>
          <w14:textFill>
            <w14:solidFill>
              <w14:schemeClr w14:val="tx1"/>
            </w14:solidFill>
          </w14:textFill>
        </w:rPr>
        <w:t xml:space="preserve">  公司治理情况</w:t>
      </w:r>
      <w:bookmarkEnd w:id="9"/>
    </w:p>
    <w:p>
      <w:pPr>
        <w:spacing w:line="520" w:lineRule="exact"/>
        <w:ind w:firstLine="640" w:firstLineChars="200"/>
        <w:rPr>
          <w:rFonts w:ascii="仿宋_GB2312" w:eastAsia="仿宋_GB2312"/>
          <w:sz w:val="32"/>
          <w:szCs w:val="30"/>
        </w:rPr>
      </w:pPr>
    </w:p>
    <w:p>
      <w:pPr>
        <w:keepNext w:val="0"/>
        <w:keepLines w:val="0"/>
        <w:pageBreakBefore w:val="0"/>
        <w:widowControl w:val="0"/>
        <w:kinsoku/>
        <w:wordWrap/>
        <w:overflowPunct/>
        <w:topLinePunct w:val="0"/>
        <w:autoSpaceDE/>
        <w:autoSpaceDN/>
        <w:bidi w:val="0"/>
        <w:adjustRightInd/>
        <w:snapToGrid/>
        <w:spacing w:line="540" w:lineRule="exact"/>
        <w:ind w:left="0" w:right="0" w:firstLine="643" w:firstLineChars="200"/>
        <w:textAlignment w:val="auto"/>
        <w:rPr>
          <w:rFonts w:hint="eastAsia" w:ascii="仿宋_GB2312" w:eastAsia="仿宋_GB2312"/>
          <w:b/>
          <w:sz w:val="32"/>
          <w:szCs w:val="32"/>
          <w:lang w:eastAsia="zh-CN"/>
        </w:rPr>
      </w:pPr>
      <w:r>
        <w:rPr>
          <w:rFonts w:hint="eastAsia" w:ascii="仿宋_GB2312" w:eastAsia="仿宋_GB2312"/>
          <w:b/>
          <w:sz w:val="32"/>
          <w:szCs w:val="32"/>
        </w:rPr>
        <w:t>一、年度内召开股东会情况。</w:t>
      </w:r>
    </w:p>
    <w:p>
      <w:pPr>
        <w:keepNext w:val="0"/>
        <w:keepLines w:val="0"/>
        <w:pageBreakBefore w:val="0"/>
        <w:widowControl w:val="0"/>
        <w:kinsoku/>
        <w:wordWrap/>
        <w:overflowPunct/>
        <w:topLinePunct w:val="0"/>
        <w:autoSpaceDE/>
        <w:autoSpaceDN/>
        <w:bidi w:val="0"/>
        <w:adjustRightInd/>
        <w:snapToGrid/>
        <w:spacing w:line="540" w:lineRule="exact"/>
        <w:ind w:left="0" w:right="0"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一</w:t>
      </w:r>
      <w:r>
        <w:rPr>
          <w:rFonts w:hint="eastAsia" w:ascii="仿宋_GB2312" w:eastAsia="仿宋_GB2312"/>
          <w:sz w:val="32"/>
          <w:szCs w:val="32"/>
          <w:lang w:eastAsia="zh-CN"/>
        </w:rPr>
        <w:t>）</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年度股东会于20</w:t>
      </w:r>
      <w:r>
        <w:rPr>
          <w:rFonts w:ascii="仿宋_GB2312" w:eastAsia="仿宋_GB2312"/>
          <w:sz w:val="32"/>
          <w:szCs w:val="32"/>
        </w:rPr>
        <w:t>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17</w:t>
      </w:r>
      <w:r>
        <w:rPr>
          <w:rFonts w:hint="eastAsia" w:ascii="仿宋_GB2312" w:eastAsia="仿宋_GB2312"/>
          <w:sz w:val="32"/>
          <w:szCs w:val="32"/>
        </w:rPr>
        <w:t>日在《宿迁日报》及</w:t>
      </w:r>
      <w:r>
        <w:rPr>
          <w:rFonts w:ascii="仿宋_GB2312" w:eastAsia="仿宋_GB2312"/>
          <w:sz w:val="32"/>
          <w:szCs w:val="32"/>
        </w:rPr>
        <w:t>本行网站</w:t>
      </w:r>
      <w:r>
        <w:rPr>
          <w:rFonts w:hint="eastAsia" w:ascii="仿宋_GB2312" w:eastAsia="仿宋_GB2312"/>
          <w:sz w:val="32"/>
          <w:szCs w:val="32"/>
        </w:rPr>
        <w:t>进行公告，列明了会议召开会议议程、会议时间和地点。于202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7</w:t>
      </w:r>
      <w:r>
        <w:rPr>
          <w:rFonts w:hint="eastAsia" w:ascii="仿宋_GB2312" w:eastAsia="仿宋_GB2312"/>
          <w:sz w:val="32"/>
          <w:szCs w:val="32"/>
        </w:rPr>
        <w:t>日上午9：</w:t>
      </w:r>
      <w:r>
        <w:rPr>
          <w:rFonts w:hint="eastAsia" w:ascii="仿宋_GB2312" w:eastAsia="仿宋_GB2312"/>
          <w:sz w:val="32"/>
          <w:szCs w:val="32"/>
          <w:lang w:val="en-US" w:eastAsia="zh-CN"/>
        </w:rPr>
        <w:t>00</w:t>
      </w:r>
      <w:r>
        <w:rPr>
          <w:rFonts w:hint="eastAsia" w:ascii="仿宋_GB2312" w:eastAsia="仿宋_GB2312"/>
          <w:sz w:val="32"/>
          <w:szCs w:val="32"/>
        </w:rPr>
        <w:t>在我行十六楼会议室召开。本次大会应到会股份</w:t>
      </w:r>
      <w:r>
        <w:rPr>
          <w:rFonts w:hint="eastAsia" w:ascii="仿宋_GB2312" w:eastAsia="仿宋_GB2312"/>
          <w:sz w:val="32"/>
          <w:szCs w:val="32"/>
          <w:lang w:val="en-US" w:eastAsia="zh-CN"/>
        </w:rPr>
        <w:t>75224.2275</w:t>
      </w:r>
      <w:r>
        <w:rPr>
          <w:rFonts w:hint="eastAsia" w:ascii="仿宋_GB2312" w:eastAsia="仿宋_GB2312"/>
          <w:sz w:val="32"/>
          <w:szCs w:val="32"/>
        </w:rPr>
        <w:t xml:space="preserve">万股，实到会股东（含代理）所持股份 </w:t>
      </w:r>
      <w:r>
        <w:rPr>
          <w:rFonts w:hint="eastAsia" w:ascii="仿宋_GB2312" w:eastAsia="仿宋_GB2312"/>
          <w:sz w:val="32"/>
          <w:szCs w:val="32"/>
          <w:lang w:val="en-US" w:eastAsia="zh-CN"/>
        </w:rPr>
        <w:t>66018.5526</w:t>
      </w:r>
      <w:r>
        <w:rPr>
          <w:rFonts w:hint="eastAsia" w:ascii="仿宋_GB2312" w:eastAsia="仿宋_GB2312"/>
          <w:sz w:val="32"/>
          <w:szCs w:val="32"/>
        </w:rPr>
        <w:t xml:space="preserve"> 万股，占股东股份总数的</w:t>
      </w:r>
      <w:r>
        <w:rPr>
          <w:rFonts w:hint="eastAsia" w:ascii="仿宋_GB2312" w:eastAsia="仿宋_GB2312"/>
          <w:sz w:val="32"/>
          <w:szCs w:val="32"/>
          <w:lang w:val="en-US" w:eastAsia="zh-CN"/>
        </w:rPr>
        <w:t>87.76</w:t>
      </w:r>
      <w:r>
        <w:rPr>
          <w:rFonts w:hint="eastAsia" w:ascii="仿宋_GB2312" w:eastAsia="仿宋_GB2312"/>
          <w:sz w:val="32"/>
          <w:szCs w:val="32"/>
        </w:rPr>
        <w:t>%，因本行股东江苏邦源纺织有限公司、沭阳县大有文化发展有限公司、江苏月源纤维科技有限公司对外质押股份超过其所持股份50%以上，对上述股东表决权进行限制，因此本次股东大会实到会股东（含代理）所持有效表决权股份</w:t>
      </w:r>
      <w:r>
        <w:rPr>
          <w:rFonts w:hint="eastAsia" w:ascii="仿宋_GB2312" w:eastAsia="仿宋_GB2312"/>
          <w:sz w:val="32"/>
          <w:szCs w:val="32"/>
          <w:lang w:val="en-US" w:eastAsia="zh-CN"/>
        </w:rPr>
        <w:t>54069.4621</w:t>
      </w:r>
      <w:r>
        <w:rPr>
          <w:rFonts w:hint="eastAsia" w:ascii="仿宋_GB2312" w:eastAsia="仿宋_GB2312"/>
          <w:sz w:val="32"/>
          <w:szCs w:val="32"/>
        </w:rPr>
        <w:t>万股,本次大会共发出表决票</w:t>
      </w:r>
      <w:r>
        <w:rPr>
          <w:rFonts w:hint="eastAsia" w:ascii="仿宋_GB2312" w:eastAsia="仿宋_GB2312"/>
          <w:sz w:val="32"/>
          <w:szCs w:val="32"/>
          <w:lang w:val="en-US" w:eastAsia="zh-CN"/>
        </w:rPr>
        <w:t>160</w:t>
      </w:r>
      <w:r>
        <w:rPr>
          <w:rFonts w:hint="eastAsia" w:ascii="仿宋_GB2312" w:eastAsia="仿宋_GB2312"/>
          <w:sz w:val="32"/>
          <w:szCs w:val="32"/>
        </w:rPr>
        <w:t>张，收回有效表决票</w:t>
      </w:r>
      <w:r>
        <w:rPr>
          <w:rFonts w:hint="eastAsia" w:ascii="仿宋_GB2312" w:eastAsia="仿宋_GB2312"/>
          <w:sz w:val="32"/>
          <w:szCs w:val="32"/>
          <w:lang w:val="en-US" w:eastAsia="zh-CN"/>
        </w:rPr>
        <w:t>160</w:t>
      </w:r>
      <w:r>
        <w:rPr>
          <w:rFonts w:hint="eastAsia" w:ascii="仿宋_GB2312" w:eastAsia="仿宋_GB2312"/>
          <w:sz w:val="32"/>
          <w:szCs w:val="32"/>
        </w:rPr>
        <w:t>张，投票权</w:t>
      </w:r>
      <w:r>
        <w:rPr>
          <w:rFonts w:hint="eastAsia" w:ascii="仿宋_GB2312" w:eastAsia="仿宋_GB2312"/>
          <w:sz w:val="32"/>
          <w:szCs w:val="32"/>
          <w:lang w:val="en-US" w:eastAsia="zh-CN"/>
        </w:rPr>
        <w:t>54069.4621</w:t>
      </w:r>
      <w:r>
        <w:rPr>
          <w:rFonts w:hint="eastAsia" w:ascii="仿宋_GB2312" w:eastAsia="仿宋_GB2312"/>
          <w:sz w:val="32"/>
          <w:szCs w:val="32"/>
        </w:rPr>
        <w:t>万股，到会人数和投票权数符合本行章程规定。</w:t>
      </w:r>
    </w:p>
    <w:p>
      <w:pPr>
        <w:keepNext w:val="0"/>
        <w:keepLines w:val="0"/>
        <w:pageBreakBefore w:val="0"/>
        <w:widowControl w:val="0"/>
        <w:kinsoku/>
        <w:wordWrap/>
        <w:overflowPunct/>
        <w:topLinePunct w:val="0"/>
        <w:autoSpaceDE/>
        <w:autoSpaceDN/>
        <w:bidi w:val="0"/>
        <w:adjustRightInd/>
        <w:snapToGrid/>
        <w:spacing w:line="540" w:lineRule="exact"/>
        <w:ind w:left="0" w:right="0" w:firstLine="640" w:firstLineChars="200"/>
        <w:textAlignment w:val="auto"/>
        <w:rPr>
          <w:rFonts w:ascii="仿宋_GB2312" w:eastAsia="仿宋_GB2312"/>
          <w:sz w:val="32"/>
          <w:szCs w:val="32"/>
        </w:rPr>
      </w:pPr>
      <w:r>
        <w:rPr>
          <w:rFonts w:hint="eastAsia" w:ascii="仿宋_GB2312" w:eastAsia="仿宋_GB2312"/>
          <w:sz w:val="32"/>
          <w:szCs w:val="32"/>
        </w:rPr>
        <w:t>会议实行律师见证制度，会前在指定媒体发布了会议公告，会议的召集、召开程序，出席会议人员的资格和表决、选举结果合法、有效，表决程序符合法律、法规和《江苏沭阳农村商业银行股份有限公司章程》有关规定，会议记录真实、完整，会议通过的各项决议合法有效。会议审议通过了《</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年度董事会工作报告》、</w:t>
      </w:r>
      <w:r>
        <w:rPr>
          <w:rFonts w:hint="eastAsia" w:ascii="仿宋_GB2312" w:eastAsia="仿宋_GB2312"/>
          <w:sz w:val="32"/>
          <w:szCs w:val="32"/>
          <w:lang w:eastAsia="zh-CN"/>
        </w:rPr>
        <w:t>审议</w:t>
      </w:r>
      <w:r>
        <w:rPr>
          <w:rFonts w:hint="eastAsia" w:ascii="仿宋_GB2312" w:eastAsia="仿宋_GB2312"/>
          <w:sz w:val="32"/>
          <w:szCs w:val="32"/>
        </w:rPr>
        <w:t>《</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年度监事会工作报告》、</w:t>
      </w:r>
      <w:r>
        <w:rPr>
          <w:rFonts w:hint="eastAsia" w:ascii="仿宋_GB2312" w:eastAsia="仿宋_GB2312"/>
          <w:sz w:val="32"/>
          <w:szCs w:val="32"/>
          <w:lang w:eastAsia="zh-CN"/>
        </w:rPr>
        <w:t>审议</w:t>
      </w:r>
      <w:r>
        <w:rPr>
          <w:rFonts w:hint="eastAsia" w:ascii="仿宋_GB2312" w:eastAsia="仿宋_GB2312"/>
          <w:sz w:val="32"/>
          <w:szCs w:val="32"/>
        </w:rPr>
        <w:t>《</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年度监事会对董事会及其董事、高级管理层及其成员、监事的履职评价报告》、</w:t>
      </w:r>
      <w:r>
        <w:rPr>
          <w:rFonts w:hint="eastAsia" w:ascii="仿宋_GB2312" w:eastAsia="仿宋_GB2312"/>
          <w:sz w:val="32"/>
          <w:szCs w:val="32"/>
          <w:lang w:eastAsia="zh-CN"/>
        </w:rPr>
        <w:t>审议</w:t>
      </w:r>
      <w:r>
        <w:rPr>
          <w:rFonts w:hint="eastAsia" w:ascii="仿宋_GB2312" w:eastAsia="仿宋_GB2312"/>
          <w:sz w:val="32"/>
          <w:szCs w:val="32"/>
        </w:rPr>
        <w:t>监事会对监事</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年度履职情况评价报告的议案、</w:t>
      </w:r>
      <w:r>
        <w:rPr>
          <w:rFonts w:hint="eastAsia" w:ascii="仿宋_GB2312" w:eastAsia="仿宋_GB2312"/>
          <w:sz w:val="32"/>
          <w:szCs w:val="32"/>
          <w:lang w:eastAsia="zh-CN"/>
        </w:rPr>
        <w:t>审议202</w:t>
      </w:r>
      <w:r>
        <w:rPr>
          <w:rFonts w:hint="eastAsia" w:ascii="仿宋_GB2312" w:eastAsia="仿宋_GB2312"/>
          <w:sz w:val="32"/>
          <w:szCs w:val="32"/>
          <w:lang w:val="en-US" w:eastAsia="zh-CN"/>
        </w:rPr>
        <w:t>4</w:t>
      </w:r>
      <w:r>
        <w:rPr>
          <w:rFonts w:hint="eastAsia" w:ascii="仿宋_GB2312" w:eastAsia="仿宋_GB2312"/>
          <w:sz w:val="32"/>
          <w:szCs w:val="32"/>
        </w:rPr>
        <w:t>年度关联交易管理情况报告、</w:t>
      </w:r>
      <w:r>
        <w:rPr>
          <w:rFonts w:hint="eastAsia" w:ascii="仿宋_GB2312" w:eastAsia="仿宋_GB2312"/>
          <w:sz w:val="32"/>
          <w:szCs w:val="32"/>
          <w:lang w:eastAsia="zh-CN"/>
        </w:rPr>
        <w:t>审议202</w:t>
      </w:r>
      <w:r>
        <w:rPr>
          <w:rFonts w:hint="eastAsia" w:ascii="仿宋_GB2312" w:eastAsia="仿宋_GB2312"/>
          <w:sz w:val="32"/>
          <w:szCs w:val="32"/>
          <w:lang w:val="en-US" w:eastAsia="zh-CN"/>
        </w:rPr>
        <w:t>4</w:t>
      </w:r>
      <w:r>
        <w:rPr>
          <w:rFonts w:hint="eastAsia" w:ascii="仿宋_GB2312" w:eastAsia="仿宋_GB2312"/>
          <w:sz w:val="32"/>
          <w:szCs w:val="32"/>
        </w:rPr>
        <w:t>年度利润分配情况报告、</w:t>
      </w:r>
      <w:r>
        <w:rPr>
          <w:rFonts w:hint="eastAsia" w:ascii="仿宋_GB2312" w:eastAsia="仿宋_GB2312"/>
          <w:sz w:val="32"/>
          <w:szCs w:val="32"/>
          <w:lang w:eastAsia="zh-CN"/>
        </w:rPr>
        <w:t>审议202</w:t>
      </w:r>
      <w:r>
        <w:rPr>
          <w:rFonts w:hint="eastAsia" w:ascii="仿宋_GB2312" w:eastAsia="仿宋_GB2312"/>
          <w:sz w:val="32"/>
          <w:szCs w:val="32"/>
          <w:lang w:val="en-US" w:eastAsia="zh-CN"/>
        </w:rPr>
        <w:t>4</w:t>
      </w:r>
      <w:r>
        <w:rPr>
          <w:rFonts w:hint="eastAsia" w:ascii="仿宋_GB2312" w:eastAsia="仿宋_GB2312"/>
          <w:sz w:val="32"/>
          <w:szCs w:val="32"/>
        </w:rPr>
        <w:t>年度财务预算执行情况暨202</w:t>
      </w:r>
      <w:r>
        <w:rPr>
          <w:rFonts w:hint="eastAsia" w:ascii="仿宋_GB2312" w:eastAsia="仿宋_GB2312"/>
          <w:sz w:val="32"/>
          <w:szCs w:val="32"/>
          <w:lang w:val="en-US" w:eastAsia="zh-CN"/>
        </w:rPr>
        <w:t>5</w:t>
      </w:r>
      <w:r>
        <w:rPr>
          <w:rFonts w:hint="eastAsia" w:ascii="仿宋_GB2312" w:eastAsia="仿宋_GB2312"/>
          <w:sz w:val="32"/>
          <w:szCs w:val="32"/>
        </w:rPr>
        <w:t>年度财务预算编制情况的报告、</w:t>
      </w:r>
      <w:r>
        <w:rPr>
          <w:rFonts w:hint="eastAsia" w:ascii="仿宋_GB2312" w:hAnsi="华文中宋" w:eastAsia="仿宋_GB2312" w:cs="Times New Roman"/>
          <w:bCs/>
          <w:sz w:val="32"/>
          <w:szCs w:val="32"/>
        </w:rPr>
        <w:t>审议修订《沭阳农商银行公司章程》的议案</w:t>
      </w:r>
      <w:r>
        <w:rPr>
          <w:rFonts w:hint="eastAsia" w:ascii="仿宋_GB2312" w:eastAsia="仿宋_GB2312"/>
          <w:sz w:val="32"/>
          <w:szCs w:val="32"/>
        </w:rPr>
        <w:t>、</w:t>
      </w:r>
      <w:r>
        <w:rPr>
          <w:rFonts w:hint="eastAsia" w:ascii="仿宋_GB2312" w:hAnsi="华文中宋" w:eastAsia="仿宋_GB2312" w:cs="Times New Roman"/>
          <w:bCs/>
          <w:sz w:val="32"/>
          <w:szCs w:val="32"/>
          <w:lang w:eastAsia="zh-CN"/>
        </w:rPr>
        <w:t>审议修订《沭阳农商银行股东会议事规则》的议案、审议修订《沭阳农商银行董事会议事规则》的议案、</w:t>
      </w:r>
      <w:r>
        <w:rPr>
          <w:rFonts w:hint="eastAsia" w:ascii="仿宋_GB2312" w:hAnsi="华文中宋" w:eastAsia="仿宋_GB2312" w:cs="Times New Roman"/>
          <w:bCs/>
          <w:sz w:val="32"/>
          <w:szCs w:val="32"/>
          <w:lang w:val="en-US" w:eastAsia="zh-CN"/>
        </w:rPr>
        <w:t>审议修订《沭阳农商银行董事会审计委员会议事规则》的议案、审议修订《沭阳农商银行股权管理办法》的议案、审议关于撤销监事会和监事的议案、听取沭阳农商银行2024年安全经营情况报告。</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（二）</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19</w:t>
      </w:r>
      <w:r>
        <w:rPr>
          <w:rFonts w:hint="eastAsia" w:ascii="仿宋_GB2312" w:eastAsia="仿宋_GB2312"/>
          <w:sz w:val="32"/>
          <w:szCs w:val="32"/>
        </w:rPr>
        <w:t>日</w:t>
      </w:r>
      <w:r>
        <w:rPr>
          <w:rFonts w:ascii="仿宋_GB2312" w:eastAsia="仿宋_GB2312"/>
          <w:sz w:val="32"/>
          <w:szCs w:val="32"/>
        </w:rPr>
        <w:t>，在</w:t>
      </w:r>
      <w:r>
        <w:rPr>
          <w:rFonts w:hint="eastAsia" w:ascii="仿宋_GB2312" w:eastAsia="仿宋_GB2312"/>
          <w:sz w:val="32"/>
          <w:szCs w:val="32"/>
        </w:rPr>
        <w:t>本行</w:t>
      </w:r>
      <w:r>
        <w:rPr>
          <w:rFonts w:ascii="仿宋_GB2312" w:eastAsia="仿宋_GB2312"/>
          <w:sz w:val="32"/>
          <w:szCs w:val="32"/>
        </w:rPr>
        <w:t>网站及《宿迁日报》进行会议通知公告，</w:t>
      </w:r>
      <w:r>
        <w:rPr>
          <w:rFonts w:hint="eastAsia" w:ascii="仿宋_GB2312" w:eastAsia="仿宋_GB2312"/>
          <w:sz w:val="32"/>
          <w:szCs w:val="32"/>
        </w:rPr>
        <w:t>列明了会议召开会议议程、会议时间和地点。</w:t>
      </w:r>
      <w:r>
        <w:rPr>
          <w:rFonts w:ascii="仿宋_GB2312" w:eastAsia="仿宋_GB2312"/>
          <w:sz w:val="32"/>
          <w:szCs w:val="32"/>
        </w:rPr>
        <w:t>会议</w:t>
      </w:r>
      <w:r>
        <w:rPr>
          <w:rFonts w:hint="eastAsia" w:ascii="仿宋_GB2312" w:eastAsia="仿宋_GB2312"/>
          <w:sz w:val="32"/>
          <w:szCs w:val="32"/>
        </w:rPr>
        <w:t>于</w:t>
      </w:r>
      <w:r>
        <w:rPr>
          <w:rFonts w:hint="eastAsia" w:ascii="仿宋_GB2312" w:eastAsia="仿宋_GB2312"/>
          <w:sz w:val="32"/>
          <w:szCs w:val="32"/>
          <w:lang w:val="en-US" w:eastAsia="zh-CN"/>
        </w:rPr>
        <w:t>8</w:t>
      </w:r>
      <w:r>
        <w:rPr>
          <w:rFonts w:hint="eastAsia" w:ascii="仿宋_GB2312" w:eastAsia="仿宋_GB2312"/>
          <w:sz w:val="32"/>
          <w:szCs w:val="32"/>
        </w:rPr>
        <w:t>月</w:t>
      </w:r>
      <w:r>
        <w:rPr>
          <w:rFonts w:hint="eastAsia" w:ascii="仿宋_GB2312" w:eastAsia="仿宋_GB2312"/>
          <w:sz w:val="32"/>
          <w:szCs w:val="32"/>
          <w:lang w:val="en-US" w:eastAsia="zh-CN"/>
        </w:rPr>
        <w:t>3</w:t>
      </w:r>
      <w:r>
        <w:rPr>
          <w:rFonts w:hint="eastAsia" w:ascii="仿宋_GB2312" w:eastAsia="仿宋_GB2312"/>
          <w:sz w:val="32"/>
          <w:szCs w:val="32"/>
        </w:rPr>
        <w:t>日</w:t>
      </w:r>
      <w:r>
        <w:rPr>
          <w:rFonts w:ascii="仿宋_GB2312" w:eastAsia="仿宋_GB2312"/>
          <w:sz w:val="32"/>
          <w:szCs w:val="32"/>
        </w:rPr>
        <w:t>上午</w:t>
      </w:r>
      <w:r>
        <w:rPr>
          <w:rFonts w:hint="eastAsia" w:ascii="仿宋_GB2312" w:eastAsia="仿宋_GB2312"/>
          <w:sz w:val="32"/>
          <w:szCs w:val="32"/>
        </w:rPr>
        <w:t>9:</w:t>
      </w:r>
      <w:r>
        <w:rPr>
          <w:rFonts w:hint="eastAsia" w:ascii="仿宋_GB2312" w:eastAsia="仿宋_GB2312"/>
          <w:sz w:val="32"/>
          <w:szCs w:val="32"/>
          <w:lang w:val="en-US" w:eastAsia="zh-CN"/>
        </w:rPr>
        <w:t>0</w:t>
      </w:r>
      <w:r>
        <w:rPr>
          <w:rFonts w:hint="eastAsia" w:ascii="仿宋_GB2312" w:eastAsia="仿宋_GB2312"/>
          <w:sz w:val="32"/>
          <w:szCs w:val="32"/>
        </w:rPr>
        <w:t>0在</w:t>
      </w:r>
      <w:r>
        <w:rPr>
          <w:rFonts w:ascii="仿宋_GB2312" w:eastAsia="仿宋_GB2312"/>
          <w:sz w:val="32"/>
          <w:szCs w:val="32"/>
        </w:rPr>
        <w:t>本行</w:t>
      </w:r>
      <w:r>
        <w:rPr>
          <w:rFonts w:hint="eastAsia" w:ascii="仿宋_GB2312" w:eastAsia="仿宋_GB2312"/>
          <w:sz w:val="32"/>
          <w:szCs w:val="32"/>
        </w:rPr>
        <w:t>16楼</w:t>
      </w:r>
      <w:r>
        <w:rPr>
          <w:rFonts w:ascii="仿宋_GB2312" w:eastAsia="仿宋_GB2312"/>
          <w:sz w:val="32"/>
          <w:szCs w:val="32"/>
        </w:rPr>
        <w:t>报告厅召开，出席</w:t>
      </w:r>
      <w:r>
        <w:rPr>
          <w:rFonts w:hint="eastAsia" w:ascii="仿宋_GB2312" w:eastAsia="仿宋_GB2312"/>
          <w:sz w:val="32"/>
          <w:szCs w:val="32"/>
        </w:rPr>
        <w:t>本次股东会</w:t>
      </w:r>
      <w:r>
        <w:rPr>
          <w:rFonts w:ascii="仿宋_GB2312" w:eastAsia="仿宋_GB2312"/>
          <w:sz w:val="32"/>
          <w:szCs w:val="32"/>
        </w:rPr>
        <w:t>会议的</w:t>
      </w:r>
      <w:r>
        <w:rPr>
          <w:rFonts w:hint="eastAsia" w:ascii="仿宋_GB2312" w:eastAsia="仿宋_GB2312"/>
          <w:sz w:val="32"/>
          <w:szCs w:val="32"/>
        </w:rPr>
        <w:t>有</w:t>
      </w:r>
      <w:r>
        <w:rPr>
          <w:rFonts w:ascii="仿宋_GB2312" w:eastAsia="仿宋_GB2312"/>
          <w:sz w:val="32"/>
          <w:szCs w:val="32"/>
        </w:rPr>
        <w:t>本行股东、委托代理人、董事等，本次会议应到股份</w:t>
      </w:r>
      <w:r>
        <w:rPr>
          <w:rFonts w:hint="eastAsia" w:ascii="仿宋_GB2312" w:hAnsi="仿宋_GB2312" w:eastAsia="仿宋_GB2312" w:cs="仿宋_GB2312"/>
          <w:color w:val="000000"/>
          <w:kern w:val="0"/>
          <w:sz w:val="32"/>
          <w:szCs w:val="32"/>
          <w:u w:val="none"/>
          <w:lang w:val="en-US" w:eastAsia="zh-CN" w:bidi="ar"/>
        </w:rPr>
        <w:t>75224.2275</w:t>
      </w:r>
      <w:r>
        <w:rPr>
          <w:rFonts w:hint="eastAsia" w:ascii="仿宋_GB2312" w:eastAsia="仿宋_GB2312"/>
          <w:sz w:val="32"/>
          <w:szCs w:val="32"/>
          <w:u w:val="none"/>
        </w:rPr>
        <w:t>万股</w:t>
      </w:r>
      <w:r>
        <w:rPr>
          <w:rFonts w:ascii="仿宋_GB2312" w:eastAsia="仿宋_GB2312"/>
          <w:sz w:val="32"/>
          <w:szCs w:val="32"/>
          <w:u w:val="none"/>
        </w:rPr>
        <w:t>，实际到会股东（含代理人）所持股份</w:t>
      </w:r>
      <w:r>
        <w:rPr>
          <w:rFonts w:hint="eastAsia" w:ascii="仿宋_GB2312" w:hAnsi="仿宋_GB2312" w:eastAsia="仿宋_GB2312" w:cs="仿宋_GB2312"/>
          <w:color w:val="000000"/>
          <w:kern w:val="0"/>
          <w:sz w:val="32"/>
          <w:szCs w:val="32"/>
          <w:u w:val="none"/>
          <w:lang w:val="en-US" w:eastAsia="zh-CN" w:bidi="ar"/>
        </w:rPr>
        <w:t>62612.5451</w:t>
      </w:r>
      <w:r>
        <w:rPr>
          <w:rFonts w:ascii="仿宋_GB2312"/>
          <w:sz w:val="32"/>
          <w:szCs w:val="32"/>
          <w:u w:val="none"/>
        </w:rPr>
        <w:t xml:space="preserve"> </w:t>
      </w:r>
      <w:r>
        <w:rPr>
          <w:rFonts w:ascii="仿宋_GB2312" w:eastAsia="仿宋_GB2312"/>
          <w:sz w:val="32"/>
          <w:szCs w:val="32"/>
          <w:u w:val="none"/>
        </w:rPr>
        <w:t>万股，占股东股份总数的</w:t>
      </w:r>
      <w:r>
        <w:rPr>
          <w:rFonts w:hint="eastAsia" w:ascii="仿宋_GB2312" w:hAnsi="仿宋_GB2312" w:eastAsia="仿宋_GB2312" w:cs="仿宋_GB2312"/>
          <w:color w:val="000000"/>
          <w:kern w:val="0"/>
          <w:sz w:val="32"/>
          <w:szCs w:val="32"/>
          <w:u w:val="none"/>
          <w:lang w:val="en-US" w:eastAsia="zh-CN" w:bidi="ar"/>
        </w:rPr>
        <w:t>83.23</w:t>
      </w:r>
      <w:r>
        <w:rPr>
          <w:rFonts w:ascii="仿宋_GB2312" w:eastAsia="仿宋_GB2312"/>
          <w:sz w:val="32"/>
          <w:szCs w:val="32"/>
          <w:u w:val="none"/>
        </w:rPr>
        <w:t>%，到会人数和投票权数符合本行章程规定。</w:t>
      </w:r>
      <w:r>
        <w:rPr>
          <w:rFonts w:hint="eastAsia" w:ascii="仿宋_GB2312" w:eastAsia="仿宋_GB2312"/>
          <w:sz w:val="32"/>
          <w:szCs w:val="32"/>
        </w:rPr>
        <w:t>会议实行律师见证制度，会前在指定媒体发布了会议公告，会议的召集、召开程序，出席会议人员的资格和表决、选举结果合法、有效，表决程序符合法律、法规和《江苏沭阳农村商业银行股份有限公司章程》有关规定，会议记录真实、完整，会议通过的各项决议合法有效。会议审议</w:t>
      </w:r>
      <w:r>
        <w:rPr>
          <w:rFonts w:hint="eastAsia" w:ascii="仿宋_GB2312" w:eastAsia="仿宋_GB2312"/>
          <w:sz w:val="32"/>
          <w:szCs w:val="32"/>
          <w:lang w:val="en-US" w:eastAsia="zh-CN"/>
        </w:rPr>
        <w:t>通过了</w:t>
      </w:r>
      <w:r>
        <w:rPr>
          <w:rFonts w:hint="eastAsia" w:ascii="仿宋_GB2312" w:eastAsia="仿宋_GB2312"/>
          <w:sz w:val="32"/>
          <w:szCs w:val="32"/>
        </w:rPr>
        <w:t>《</w:t>
      </w:r>
      <w:r>
        <w:rPr>
          <w:rFonts w:hint="eastAsia" w:ascii="仿宋_GB2312" w:eastAsia="仿宋_GB2312"/>
          <w:sz w:val="32"/>
          <w:szCs w:val="32"/>
          <w:lang w:eastAsia="zh-CN"/>
        </w:rPr>
        <w:t>沭阳农商银行关于</w:t>
      </w:r>
      <w:r>
        <w:rPr>
          <w:rFonts w:hint="eastAsia" w:ascii="仿宋_GB2312" w:eastAsia="仿宋_GB2312"/>
          <w:sz w:val="32"/>
          <w:szCs w:val="32"/>
          <w:lang w:val="en-US" w:eastAsia="zh-CN"/>
        </w:rPr>
        <w:t>选举</w:t>
      </w:r>
      <w:r>
        <w:rPr>
          <w:rFonts w:hint="eastAsia" w:ascii="仿宋_GB2312" w:eastAsia="仿宋_GB2312"/>
          <w:sz w:val="32"/>
          <w:szCs w:val="32"/>
          <w:lang w:eastAsia="zh-CN"/>
        </w:rPr>
        <w:t>第五届非职工董事会董事候选人的议案</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right="0" w:firstLine="643" w:firstLineChars="200"/>
        <w:textAlignment w:val="auto"/>
        <w:rPr>
          <w:rFonts w:hint="eastAsia" w:ascii="仿宋_GB2312" w:eastAsia="仿宋_GB2312"/>
          <w:b/>
          <w:sz w:val="32"/>
          <w:szCs w:val="32"/>
          <w:lang w:eastAsia="zh-CN"/>
        </w:rPr>
      </w:pPr>
      <w:r>
        <w:rPr>
          <w:rFonts w:hint="eastAsia" w:ascii="仿宋_GB2312" w:eastAsia="仿宋_GB2312"/>
          <w:b/>
          <w:sz w:val="32"/>
          <w:szCs w:val="32"/>
        </w:rPr>
        <w:t>二、董事会构成及其工作情况。</w:t>
      </w:r>
    </w:p>
    <w:p>
      <w:pPr>
        <w:keepNext w:val="0"/>
        <w:keepLines w:val="0"/>
        <w:pageBreakBefore w:val="0"/>
        <w:kinsoku/>
        <w:wordWrap/>
        <w:autoSpaceDE/>
        <w:autoSpaceDN/>
        <w:bidi w:val="0"/>
        <w:adjustRightInd/>
        <w:snapToGrid/>
        <w:spacing w:line="540" w:lineRule="exact"/>
        <w:ind w:left="0" w:right="0" w:firstLine="640" w:firstLineChars="200"/>
        <w:textAlignment w:val="auto"/>
        <w:rPr>
          <w:rFonts w:ascii="仿宋_GB2312" w:eastAsia="仿宋_GB2312"/>
          <w:sz w:val="32"/>
          <w:szCs w:val="32"/>
        </w:rPr>
      </w:pPr>
      <w:r>
        <w:rPr>
          <w:rFonts w:hint="eastAsia" w:ascii="仿宋_GB2312" w:eastAsia="仿宋_GB2312"/>
          <w:sz w:val="32"/>
          <w:szCs w:val="32"/>
        </w:rPr>
        <w:t>截至202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末</w:t>
      </w:r>
      <w:r>
        <w:rPr>
          <w:rFonts w:hint="eastAsia" w:ascii="仿宋_GB2312" w:eastAsia="仿宋_GB2312"/>
          <w:sz w:val="32"/>
          <w:szCs w:val="32"/>
        </w:rPr>
        <w:t>，本行董事会共有</w:t>
      </w:r>
      <w:r>
        <w:rPr>
          <w:rFonts w:hint="eastAsia" w:ascii="仿宋_GB2312" w:eastAsia="仿宋_GB2312"/>
          <w:sz w:val="32"/>
          <w:szCs w:val="32"/>
          <w:lang w:val="en-US" w:eastAsia="zh-CN"/>
        </w:rPr>
        <w:t>12</w:t>
      </w:r>
      <w:r>
        <w:rPr>
          <w:rFonts w:hint="eastAsia" w:ascii="仿宋_GB2312" w:eastAsia="仿宋_GB2312"/>
          <w:sz w:val="32"/>
          <w:szCs w:val="32"/>
        </w:rPr>
        <w:t>名董事</w:t>
      </w:r>
      <w:r>
        <w:rPr>
          <w:rFonts w:hint="eastAsia" w:ascii="仿宋_GB2312" w:eastAsia="仿宋_GB2312"/>
          <w:sz w:val="32"/>
          <w:szCs w:val="32"/>
          <w:lang w:eastAsia="zh-CN"/>
        </w:rPr>
        <w:t>（</w:t>
      </w:r>
      <w:r>
        <w:rPr>
          <w:rFonts w:hint="eastAsia" w:ascii="仿宋_GB2312" w:eastAsia="仿宋_GB2312"/>
          <w:sz w:val="32"/>
          <w:szCs w:val="32"/>
          <w:lang w:val="en-US" w:eastAsia="zh-CN"/>
        </w:rPr>
        <w:t>新聘任董事需取得任职资格后进行履职</w:t>
      </w:r>
      <w:r>
        <w:rPr>
          <w:rFonts w:hint="eastAsia" w:ascii="仿宋_GB2312" w:eastAsia="仿宋_GB2312"/>
          <w:sz w:val="32"/>
          <w:szCs w:val="32"/>
          <w:lang w:eastAsia="zh-CN"/>
        </w:rPr>
        <w:t>）</w:t>
      </w:r>
      <w:r>
        <w:rPr>
          <w:rFonts w:hint="eastAsia" w:ascii="仿宋_GB2312" w:eastAsia="仿宋_GB2312"/>
          <w:sz w:val="32"/>
          <w:szCs w:val="32"/>
        </w:rPr>
        <w:t>，其中执行董事</w:t>
      </w:r>
      <w:r>
        <w:rPr>
          <w:rFonts w:hint="eastAsia" w:ascii="仿宋_GB2312" w:eastAsia="仿宋_GB2312"/>
          <w:sz w:val="32"/>
          <w:szCs w:val="32"/>
          <w:lang w:val="en-US" w:eastAsia="zh-CN"/>
        </w:rPr>
        <w:t>2</w:t>
      </w:r>
      <w:r>
        <w:rPr>
          <w:rFonts w:hint="eastAsia" w:ascii="仿宋_GB2312" w:eastAsia="仿宋_GB2312"/>
          <w:sz w:val="32"/>
          <w:szCs w:val="32"/>
        </w:rPr>
        <w:t>人，分别为陈</w:t>
      </w:r>
      <w:r>
        <w:rPr>
          <w:rFonts w:ascii="仿宋_GB2312" w:eastAsia="仿宋_GB2312"/>
          <w:sz w:val="32"/>
          <w:szCs w:val="32"/>
        </w:rPr>
        <w:t>雷</w:t>
      </w:r>
      <w:r>
        <w:rPr>
          <w:rFonts w:hint="eastAsia" w:ascii="仿宋_GB2312" w:eastAsia="仿宋_GB2312"/>
          <w:sz w:val="32"/>
          <w:szCs w:val="32"/>
        </w:rPr>
        <w:t>、</w:t>
      </w:r>
      <w:r>
        <w:rPr>
          <w:rFonts w:hint="eastAsia" w:ascii="仿宋_GB2312" w:eastAsia="仿宋_GB2312"/>
          <w:sz w:val="32"/>
          <w:szCs w:val="32"/>
          <w:lang w:val="en-US" w:eastAsia="zh-CN"/>
        </w:rPr>
        <w:t>陈庚新</w:t>
      </w:r>
      <w:r>
        <w:rPr>
          <w:rFonts w:hint="eastAsia" w:ascii="仿宋_GB2312" w:eastAsia="仿宋_GB2312"/>
          <w:sz w:val="32"/>
          <w:szCs w:val="32"/>
        </w:rPr>
        <w:t>；</w:t>
      </w:r>
      <w:r>
        <w:rPr>
          <w:rFonts w:ascii="仿宋_GB2312" w:eastAsia="仿宋_GB2312"/>
          <w:sz w:val="32"/>
          <w:szCs w:val="32"/>
        </w:rPr>
        <w:t>职工董事</w:t>
      </w:r>
      <w:r>
        <w:rPr>
          <w:rFonts w:hint="eastAsia" w:ascii="仿宋_GB2312" w:eastAsia="仿宋_GB2312"/>
          <w:sz w:val="32"/>
          <w:szCs w:val="32"/>
        </w:rPr>
        <w:t>1人</w:t>
      </w:r>
      <w:r>
        <w:rPr>
          <w:rFonts w:ascii="仿宋_GB2312" w:eastAsia="仿宋_GB2312"/>
          <w:sz w:val="32"/>
          <w:szCs w:val="32"/>
        </w:rPr>
        <w:t>为苗启德</w:t>
      </w:r>
      <w:r>
        <w:rPr>
          <w:rFonts w:hint="eastAsia" w:ascii="仿宋_GB2312" w:eastAsia="仿宋_GB2312"/>
          <w:sz w:val="32"/>
          <w:szCs w:val="32"/>
        </w:rPr>
        <w:t>；独立董事</w:t>
      </w:r>
      <w:r>
        <w:rPr>
          <w:rFonts w:hint="eastAsia" w:ascii="仿宋_GB2312" w:eastAsia="仿宋_GB2312"/>
          <w:sz w:val="32"/>
          <w:szCs w:val="32"/>
          <w:lang w:val="en-US" w:eastAsia="zh-CN"/>
        </w:rPr>
        <w:t>4</w:t>
      </w:r>
      <w:r>
        <w:rPr>
          <w:rFonts w:hint="eastAsia" w:ascii="仿宋_GB2312" w:eastAsia="仿宋_GB2312"/>
          <w:sz w:val="32"/>
          <w:szCs w:val="32"/>
        </w:rPr>
        <w:t>人，分别为张</w:t>
      </w:r>
      <w:r>
        <w:rPr>
          <w:rFonts w:ascii="仿宋_GB2312" w:eastAsia="仿宋_GB2312"/>
          <w:sz w:val="32"/>
          <w:szCs w:val="32"/>
        </w:rPr>
        <w:t>新苗、李华平</w:t>
      </w:r>
      <w:r>
        <w:rPr>
          <w:rFonts w:hint="eastAsia" w:ascii="仿宋_GB2312" w:eastAsia="仿宋_GB2312"/>
          <w:sz w:val="32"/>
          <w:szCs w:val="32"/>
          <w:lang w:eastAsia="zh-CN"/>
        </w:rPr>
        <w:t>、</w:t>
      </w:r>
      <w:r>
        <w:rPr>
          <w:rFonts w:hint="eastAsia" w:ascii="仿宋_GB2312" w:eastAsia="仿宋_GB2312"/>
          <w:sz w:val="32"/>
          <w:szCs w:val="32"/>
          <w:lang w:val="en-US" w:eastAsia="zh-CN"/>
        </w:rPr>
        <w:t>武秀敏、侯海军</w:t>
      </w:r>
      <w:r>
        <w:rPr>
          <w:rFonts w:hint="eastAsia" w:ascii="仿宋_GB2312" w:eastAsia="仿宋_GB2312"/>
          <w:sz w:val="32"/>
          <w:szCs w:val="32"/>
        </w:rPr>
        <w:t>，独立董事均熟悉农村经济和金融情况，具备对宏观、微观经济金融形势的研判能力；股权董事</w:t>
      </w:r>
      <w:r>
        <w:rPr>
          <w:rFonts w:hint="eastAsia" w:ascii="仿宋_GB2312" w:eastAsia="仿宋_GB2312"/>
          <w:sz w:val="32"/>
          <w:szCs w:val="32"/>
          <w:lang w:val="en-US" w:eastAsia="zh-CN"/>
        </w:rPr>
        <w:t>4</w:t>
      </w:r>
      <w:r>
        <w:rPr>
          <w:rFonts w:hint="eastAsia" w:ascii="仿宋_GB2312" w:eastAsia="仿宋_GB2312"/>
          <w:sz w:val="32"/>
          <w:szCs w:val="32"/>
        </w:rPr>
        <w:t>人，分别为张克、陈宜兵、陈长华、黄祖</w:t>
      </w:r>
      <w:r>
        <w:rPr>
          <w:rFonts w:ascii="仿宋_GB2312" w:eastAsia="仿宋_GB2312"/>
          <w:sz w:val="32"/>
          <w:szCs w:val="32"/>
        </w:rPr>
        <w:t>群</w:t>
      </w:r>
      <w:r>
        <w:rPr>
          <w:rFonts w:hint="eastAsia" w:ascii="仿宋_GB2312" w:eastAsia="仿宋_GB2312"/>
          <w:sz w:val="32"/>
          <w:szCs w:val="32"/>
          <w:lang w:eastAsia="zh-CN"/>
        </w:rPr>
        <w:t>、</w:t>
      </w:r>
      <w:r>
        <w:rPr>
          <w:rFonts w:hint="eastAsia" w:ascii="仿宋_GB2312" w:eastAsia="仿宋_GB2312"/>
          <w:sz w:val="32"/>
          <w:szCs w:val="32"/>
          <w:lang w:val="en-US" w:eastAsia="zh-CN"/>
        </w:rPr>
        <w:t>陈爽</w:t>
      </w:r>
      <w:r>
        <w:rPr>
          <w:rFonts w:hint="eastAsia" w:ascii="仿宋_GB2312" w:eastAsia="仿宋_GB2312"/>
          <w:sz w:val="32"/>
          <w:szCs w:val="32"/>
        </w:rPr>
        <w:t>，股权董事均具备多年的企业经营管理经验，对市场分析、经营管理、金融服务具有较强的分析判断能力，对本行经营管理能够提出建设性的意见和建议。董事会设立风险管理与关联交易控制委员会、提名与薪酬委员会、审计委员会、战略规划委员会、三农金融服务委员会、消费者权益保护工作委员会、信息科技委员会、大额授信业务审查委员会，其中风险管理与关联交易控制委员会、提名与薪酬委员会、审计委员会、消费者权益保护工作委员会、信息科技委员会的主任委员由独立董事担任。</w:t>
      </w:r>
    </w:p>
    <w:p>
      <w:pPr>
        <w:keepNext w:val="0"/>
        <w:keepLines w:val="0"/>
        <w:pageBreakBefore w:val="0"/>
        <w:kinsoku/>
        <w:wordWrap/>
        <w:autoSpaceDE/>
        <w:autoSpaceDN/>
        <w:bidi w:val="0"/>
        <w:adjustRightInd/>
        <w:snapToGrid/>
        <w:spacing w:line="540" w:lineRule="exact"/>
        <w:ind w:left="0" w:right="0" w:firstLine="640" w:firstLineChars="200"/>
        <w:textAlignment w:val="auto"/>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董事会和各位董事通过查阅报表、审议材料、听取报告、实地调研等形式，了解和掌握本行业务发展、内部管理和风险管理状况，按季度对高管层履职情况进行分析评价，监督经营层落实董事会决策的执行情况。202</w:t>
      </w:r>
      <w:r>
        <w:rPr>
          <w:rFonts w:hint="eastAsia" w:ascii="仿宋_GB2312" w:eastAsia="仿宋_GB2312"/>
          <w:sz w:val="32"/>
          <w:szCs w:val="32"/>
          <w:lang w:val="en-US" w:eastAsia="zh-CN"/>
        </w:rPr>
        <w:t>5</w:t>
      </w:r>
      <w:r>
        <w:rPr>
          <w:rFonts w:hint="eastAsia" w:ascii="仿宋_GB2312" w:eastAsia="仿宋_GB2312"/>
          <w:sz w:val="32"/>
          <w:szCs w:val="32"/>
        </w:rPr>
        <w:t>年</w:t>
      </w:r>
      <w:r>
        <w:rPr>
          <w:rFonts w:ascii="仿宋_GB2312" w:eastAsia="仿宋_GB2312"/>
          <w:sz w:val="32"/>
          <w:szCs w:val="32"/>
        </w:rPr>
        <w:t>共召集股东会</w:t>
      </w:r>
      <w:r>
        <w:rPr>
          <w:rFonts w:hint="eastAsia" w:ascii="仿宋_GB2312" w:eastAsia="仿宋_GB2312"/>
          <w:sz w:val="32"/>
          <w:szCs w:val="32"/>
          <w:lang w:val="en-US" w:eastAsia="zh-CN"/>
        </w:rPr>
        <w:t>2</w:t>
      </w:r>
      <w:r>
        <w:rPr>
          <w:rFonts w:ascii="仿宋_GB2312" w:eastAsia="仿宋_GB2312"/>
          <w:sz w:val="32"/>
          <w:szCs w:val="32"/>
        </w:rPr>
        <w:t>次，召开董事会会议</w:t>
      </w:r>
      <w:r>
        <w:rPr>
          <w:rFonts w:hint="eastAsia" w:ascii="仿宋_GB2312" w:eastAsia="仿宋_GB2312"/>
          <w:sz w:val="32"/>
          <w:szCs w:val="32"/>
          <w:lang w:val="en-US" w:eastAsia="zh-CN"/>
        </w:rPr>
        <w:t>7</w:t>
      </w:r>
      <w:r>
        <w:rPr>
          <w:rFonts w:ascii="仿宋_GB2312" w:eastAsia="仿宋_GB2312"/>
          <w:sz w:val="32"/>
          <w:szCs w:val="32"/>
        </w:rPr>
        <w:t>次，就年度经营计划、利润分配、财务预决算、风险管理、</w:t>
      </w:r>
      <w:r>
        <w:rPr>
          <w:rFonts w:hint="eastAsia" w:ascii="仿宋_GB2312" w:eastAsia="仿宋_GB2312"/>
          <w:sz w:val="32"/>
          <w:szCs w:val="32"/>
        </w:rPr>
        <w:t>制度修改</w:t>
      </w:r>
      <w:r>
        <w:rPr>
          <w:rFonts w:ascii="仿宋_GB2312" w:eastAsia="仿宋_GB2312"/>
          <w:sz w:val="32"/>
          <w:szCs w:val="32"/>
        </w:rPr>
        <w:t>等</w:t>
      </w:r>
      <w:r>
        <w:rPr>
          <w:rFonts w:hint="eastAsia" w:ascii="仿宋_GB2312" w:eastAsia="仿宋_GB2312"/>
          <w:sz w:val="32"/>
          <w:szCs w:val="32"/>
          <w:lang w:val="en-US" w:eastAsia="zh-CN"/>
        </w:rPr>
        <w:t>107</w:t>
      </w:r>
      <w:r>
        <w:rPr>
          <w:rFonts w:ascii="仿宋_GB2312" w:eastAsia="仿宋_GB2312"/>
          <w:sz w:val="32"/>
          <w:szCs w:val="32"/>
        </w:rPr>
        <w:t>项议案进行了审议</w:t>
      </w:r>
      <w:r>
        <w:rPr>
          <w:rFonts w:hint="eastAsia" w:ascii="仿宋_GB2312" w:eastAsia="仿宋_GB2312"/>
          <w:sz w:val="32"/>
          <w:szCs w:val="32"/>
        </w:rPr>
        <w:t>，并全部通过形成决议。董事会风险管理与关联交易控制委员会召开会议</w:t>
      </w:r>
      <w:r>
        <w:rPr>
          <w:rFonts w:hint="eastAsia" w:ascii="仿宋_GB2312" w:eastAsia="仿宋_GB2312"/>
          <w:sz w:val="32"/>
          <w:szCs w:val="32"/>
          <w:lang w:val="en-US" w:eastAsia="zh-CN"/>
        </w:rPr>
        <w:t>6</w:t>
      </w:r>
      <w:r>
        <w:rPr>
          <w:rFonts w:hint="eastAsia" w:ascii="仿宋_GB2312" w:eastAsia="仿宋_GB2312"/>
          <w:sz w:val="32"/>
          <w:szCs w:val="32"/>
        </w:rPr>
        <w:t>次，审议事项</w:t>
      </w:r>
      <w:r>
        <w:rPr>
          <w:rFonts w:hint="eastAsia" w:ascii="仿宋_GB2312" w:eastAsia="仿宋_GB2312"/>
          <w:sz w:val="32"/>
          <w:szCs w:val="32"/>
          <w:lang w:val="en-US" w:eastAsia="zh-CN"/>
        </w:rPr>
        <w:t>39</w:t>
      </w:r>
      <w:r>
        <w:rPr>
          <w:rFonts w:hint="eastAsia" w:ascii="仿宋_GB2312" w:eastAsia="仿宋_GB2312"/>
          <w:sz w:val="32"/>
          <w:szCs w:val="32"/>
        </w:rPr>
        <w:t>件，并全部通过形成决议。董事会提名与薪酬委员会召开会议</w:t>
      </w:r>
      <w:r>
        <w:rPr>
          <w:rFonts w:hint="eastAsia" w:ascii="仿宋_GB2312" w:eastAsia="仿宋_GB2312"/>
          <w:sz w:val="32"/>
          <w:szCs w:val="32"/>
          <w:lang w:val="en-US" w:eastAsia="zh-CN"/>
        </w:rPr>
        <w:t>2</w:t>
      </w:r>
      <w:r>
        <w:rPr>
          <w:rFonts w:hint="eastAsia" w:ascii="仿宋_GB2312" w:eastAsia="仿宋_GB2312"/>
          <w:sz w:val="32"/>
          <w:szCs w:val="32"/>
        </w:rPr>
        <w:t>次，审议事项</w:t>
      </w:r>
      <w:r>
        <w:rPr>
          <w:rFonts w:hint="eastAsia" w:ascii="仿宋_GB2312" w:eastAsia="仿宋_GB2312"/>
          <w:sz w:val="32"/>
          <w:szCs w:val="32"/>
          <w:lang w:val="en-US" w:eastAsia="zh-CN"/>
        </w:rPr>
        <w:t>4</w:t>
      </w:r>
      <w:r>
        <w:rPr>
          <w:rFonts w:hint="eastAsia" w:ascii="仿宋_GB2312" w:eastAsia="仿宋_GB2312"/>
          <w:sz w:val="32"/>
          <w:szCs w:val="32"/>
        </w:rPr>
        <w:t>件，并全部通过形成决议。董事会审计委员会召开会议</w:t>
      </w:r>
      <w:r>
        <w:rPr>
          <w:rFonts w:hint="eastAsia" w:ascii="仿宋_GB2312" w:eastAsia="仿宋_GB2312"/>
          <w:sz w:val="32"/>
          <w:szCs w:val="32"/>
          <w:lang w:val="en-US" w:eastAsia="zh-CN"/>
        </w:rPr>
        <w:t>5</w:t>
      </w:r>
      <w:r>
        <w:rPr>
          <w:rFonts w:hint="eastAsia" w:ascii="仿宋_GB2312" w:eastAsia="仿宋_GB2312"/>
          <w:sz w:val="32"/>
          <w:szCs w:val="32"/>
        </w:rPr>
        <w:t>次，审议事项</w:t>
      </w:r>
      <w:r>
        <w:rPr>
          <w:rFonts w:hint="eastAsia" w:ascii="仿宋_GB2312" w:eastAsia="仿宋_GB2312"/>
          <w:sz w:val="32"/>
          <w:szCs w:val="32"/>
          <w:lang w:val="en-US" w:eastAsia="zh-CN"/>
        </w:rPr>
        <w:t>24</w:t>
      </w:r>
      <w:r>
        <w:rPr>
          <w:rFonts w:hint="eastAsia" w:ascii="仿宋_GB2312" w:eastAsia="仿宋_GB2312"/>
          <w:sz w:val="32"/>
          <w:szCs w:val="32"/>
        </w:rPr>
        <w:t>件，并全部通过形成决议。董事会战略规划委员会召开会议</w:t>
      </w:r>
      <w:r>
        <w:rPr>
          <w:rFonts w:hint="eastAsia" w:ascii="仿宋_GB2312" w:eastAsia="仿宋_GB2312"/>
          <w:sz w:val="32"/>
          <w:szCs w:val="32"/>
          <w:lang w:val="en-US" w:eastAsia="zh-CN"/>
        </w:rPr>
        <w:t>5</w:t>
      </w:r>
      <w:r>
        <w:rPr>
          <w:rFonts w:hint="eastAsia" w:ascii="仿宋_GB2312" w:eastAsia="仿宋_GB2312"/>
          <w:sz w:val="32"/>
          <w:szCs w:val="32"/>
        </w:rPr>
        <w:t>次，审议事项</w:t>
      </w:r>
      <w:r>
        <w:rPr>
          <w:rFonts w:hint="eastAsia" w:ascii="仿宋_GB2312" w:eastAsia="仿宋_GB2312"/>
          <w:sz w:val="32"/>
          <w:szCs w:val="32"/>
          <w:lang w:val="en-US" w:eastAsia="zh-CN"/>
        </w:rPr>
        <w:t>16</w:t>
      </w:r>
      <w:r>
        <w:rPr>
          <w:rFonts w:hint="eastAsia" w:ascii="仿宋_GB2312" w:eastAsia="仿宋_GB2312"/>
          <w:sz w:val="32"/>
          <w:szCs w:val="32"/>
        </w:rPr>
        <w:t>件，并全部通过形成决议。董事会三农金融服务委员会召开会议</w:t>
      </w:r>
      <w:r>
        <w:rPr>
          <w:rFonts w:hint="eastAsia" w:ascii="仿宋_GB2312" w:eastAsia="仿宋_GB2312"/>
          <w:sz w:val="32"/>
          <w:szCs w:val="32"/>
          <w:lang w:val="en-US" w:eastAsia="zh-CN"/>
        </w:rPr>
        <w:t>2</w:t>
      </w:r>
      <w:r>
        <w:rPr>
          <w:rFonts w:hint="eastAsia" w:ascii="仿宋_GB2312" w:eastAsia="仿宋_GB2312"/>
          <w:sz w:val="32"/>
          <w:szCs w:val="32"/>
        </w:rPr>
        <w:t>次，审议事项</w:t>
      </w:r>
      <w:r>
        <w:rPr>
          <w:rFonts w:hint="eastAsia" w:ascii="仿宋_GB2312" w:eastAsia="仿宋_GB2312"/>
          <w:sz w:val="32"/>
          <w:szCs w:val="32"/>
          <w:lang w:val="en-US" w:eastAsia="zh-CN"/>
        </w:rPr>
        <w:t>3</w:t>
      </w:r>
      <w:r>
        <w:rPr>
          <w:rFonts w:hint="eastAsia" w:ascii="仿宋_GB2312" w:eastAsia="仿宋_GB2312"/>
          <w:sz w:val="32"/>
          <w:szCs w:val="32"/>
        </w:rPr>
        <w:t>件，并全部通过形成决议。董事会消费者权益保护工作委员会召开会议</w:t>
      </w:r>
      <w:r>
        <w:rPr>
          <w:rFonts w:hint="eastAsia" w:ascii="仿宋_GB2312" w:eastAsia="仿宋_GB2312"/>
          <w:sz w:val="32"/>
          <w:szCs w:val="32"/>
          <w:lang w:val="en-US" w:eastAsia="zh-CN"/>
        </w:rPr>
        <w:t>3</w:t>
      </w:r>
      <w:r>
        <w:rPr>
          <w:rFonts w:hint="eastAsia" w:ascii="仿宋_GB2312" w:eastAsia="仿宋_GB2312"/>
          <w:sz w:val="32"/>
          <w:szCs w:val="32"/>
        </w:rPr>
        <w:t>次，审议事项</w:t>
      </w:r>
      <w:r>
        <w:rPr>
          <w:rFonts w:hint="eastAsia" w:ascii="仿宋_GB2312" w:eastAsia="仿宋_GB2312"/>
          <w:sz w:val="32"/>
          <w:szCs w:val="32"/>
          <w:lang w:val="en-US" w:eastAsia="zh-CN"/>
        </w:rPr>
        <w:t>4</w:t>
      </w:r>
      <w:r>
        <w:rPr>
          <w:rFonts w:hint="eastAsia" w:ascii="仿宋_GB2312" w:eastAsia="仿宋_GB2312"/>
          <w:sz w:val="32"/>
          <w:szCs w:val="32"/>
        </w:rPr>
        <w:t>件，并全部通过形成决议。董事会信息科技委员会召开会议</w:t>
      </w:r>
      <w:r>
        <w:rPr>
          <w:rFonts w:hint="eastAsia" w:ascii="仿宋_GB2312" w:eastAsia="仿宋_GB2312"/>
          <w:sz w:val="32"/>
          <w:szCs w:val="32"/>
          <w:lang w:val="en-US" w:eastAsia="zh-CN"/>
        </w:rPr>
        <w:t>2</w:t>
      </w:r>
      <w:r>
        <w:rPr>
          <w:rFonts w:hint="eastAsia" w:ascii="仿宋_GB2312" w:eastAsia="仿宋_GB2312"/>
          <w:sz w:val="32"/>
          <w:szCs w:val="32"/>
        </w:rPr>
        <w:t>次，审议事项</w:t>
      </w:r>
      <w:r>
        <w:rPr>
          <w:rFonts w:hint="eastAsia" w:ascii="仿宋_GB2312" w:eastAsia="仿宋_GB2312"/>
          <w:sz w:val="32"/>
          <w:szCs w:val="32"/>
          <w:lang w:val="en-US" w:eastAsia="zh-CN"/>
        </w:rPr>
        <w:t>3</w:t>
      </w:r>
      <w:r>
        <w:rPr>
          <w:rFonts w:hint="eastAsia" w:ascii="仿宋_GB2312" w:eastAsia="仿宋_GB2312"/>
          <w:sz w:val="32"/>
          <w:szCs w:val="32"/>
        </w:rPr>
        <w:t>件。</w:t>
      </w:r>
      <w:r>
        <w:rPr>
          <w:rFonts w:ascii="仿宋_GB2312" w:eastAsia="仿宋_GB2312"/>
          <w:sz w:val="32"/>
          <w:szCs w:val="32"/>
        </w:rPr>
        <w:t>大额</w:t>
      </w:r>
      <w:r>
        <w:rPr>
          <w:rFonts w:hint="eastAsia" w:ascii="仿宋_GB2312" w:eastAsia="仿宋_GB2312"/>
          <w:sz w:val="32"/>
          <w:szCs w:val="32"/>
        </w:rPr>
        <w:t>授信</w:t>
      </w:r>
      <w:r>
        <w:rPr>
          <w:rFonts w:ascii="仿宋_GB2312" w:eastAsia="仿宋_GB2312"/>
          <w:sz w:val="32"/>
          <w:szCs w:val="32"/>
        </w:rPr>
        <w:t>业务审查委员会</w:t>
      </w:r>
      <w:r>
        <w:rPr>
          <w:rFonts w:hint="eastAsia" w:ascii="仿宋_GB2312" w:eastAsia="仿宋_GB2312"/>
          <w:sz w:val="32"/>
          <w:szCs w:val="32"/>
        </w:rPr>
        <w:t>，召开会议</w:t>
      </w:r>
      <w:r>
        <w:rPr>
          <w:rFonts w:hint="eastAsia" w:ascii="仿宋_GB2312" w:eastAsia="仿宋_GB2312"/>
          <w:sz w:val="32"/>
          <w:szCs w:val="32"/>
          <w:lang w:val="en-US" w:eastAsia="zh-CN"/>
        </w:rPr>
        <w:t>2</w:t>
      </w:r>
      <w:r>
        <w:rPr>
          <w:rFonts w:hint="eastAsia" w:ascii="仿宋_GB2312" w:eastAsia="仿宋_GB2312"/>
          <w:sz w:val="32"/>
          <w:szCs w:val="32"/>
        </w:rPr>
        <w:t>次，审议事项</w:t>
      </w:r>
      <w:r>
        <w:rPr>
          <w:rFonts w:hint="eastAsia" w:ascii="仿宋_GB2312" w:eastAsia="仿宋_GB2312"/>
          <w:sz w:val="32"/>
          <w:szCs w:val="32"/>
          <w:lang w:val="en-US" w:eastAsia="zh-CN"/>
        </w:rPr>
        <w:t>2</w:t>
      </w:r>
      <w:r>
        <w:rPr>
          <w:rFonts w:hint="eastAsia" w:ascii="仿宋_GB2312" w:eastAsia="仿宋_GB2312"/>
          <w:sz w:val="32"/>
          <w:szCs w:val="32"/>
        </w:rPr>
        <w:t>件。并全部通过形成决议。</w:t>
      </w:r>
    </w:p>
    <w:p>
      <w:pPr>
        <w:keepNext w:val="0"/>
        <w:keepLines w:val="0"/>
        <w:pageBreakBefore w:val="0"/>
        <w:numPr>
          <w:ilvl w:val="0"/>
          <w:numId w:val="1"/>
        </w:numPr>
        <w:kinsoku/>
        <w:wordWrap/>
        <w:autoSpaceDE/>
        <w:autoSpaceDN/>
        <w:bidi w:val="0"/>
        <w:adjustRightInd/>
        <w:snapToGrid/>
        <w:spacing w:line="540" w:lineRule="exact"/>
        <w:ind w:left="0" w:leftChars="0" w:right="0" w:firstLine="643" w:firstLineChars="200"/>
        <w:textAlignment w:val="auto"/>
        <w:rPr>
          <w:rFonts w:hint="eastAsia" w:ascii="仿宋_GB2312" w:eastAsia="仿宋_GB2312"/>
          <w:b/>
          <w:sz w:val="32"/>
          <w:szCs w:val="32"/>
        </w:rPr>
      </w:pPr>
      <w:r>
        <w:rPr>
          <w:rFonts w:hint="eastAsia" w:ascii="仿宋_GB2312" w:eastAsia="仿宋_GB2312"/>
          <w:b/>
          <w:sz w:val="32"/>
          <w:szCs w:val="32"/>
        </w:rPr>
        <w:t>独立董事工作情况。</w:t>
      </w:r>
    </w:p>
    <w:p>
      <w:pPr>
        <w:keepNext w:val="0"/>
        <w:keepLines w:val="0"/>
        <w:pageBreakBefore w:val="0"/>
        <w:kinsoku/>
        <w:wordWrap/>
        <w:autoSpaceDE/>
        <w:autoSpaceDN/>
        <w:bidi w:val="0"/>
        <w:adjustRightInd/>
        <w:snapToGrid/>
        <w:spacing w:line="540" w:lineRule="exact"/>
        <w:ind w:left="0" w:right="0" w:firstLine="640" w:firstLineChars="200"/>
        <w:textAlignment w:val="auto"/>
        <w:rPr>
          <w:rFonts w:ascii="仿宋_GB2312" w:eastAsia="仿宋_GB2312"/>
          <w:sz w:val="32"/>
          <w:szCs w:val="32"/>
        </w:rPr>
      </w:pPr>
      <w:r>
        <w:rPr>
          <w:rFonts w:hint="eastAsia" w:ascii="仿宋_GB2312" w:eastAsia="仿宋_GB2312"/>
          <w:sz w:val="32"/>
          <w:szCs w:val="32"/>
        </w:rPr>
        <w:t>张新</w:t>
      </w:r>
      <w:r>
        <w:rPr>
          <w:rFonts w:ascii="仿宋_GB2312" w:eastAsia="仿宋_GB2312"/>
          <w:sz w:val="32"/>
          <w:szCs w:val="32"/>
        </w:rPr>
        <w:t>苗</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年任本行独立董事，担任审计委员会主任委员</w:t>
      </w:r>
      <w:r>
        <w:rPr>
          <w:rFonts w:hint="eastAsia" w:ascii="仿宋_GB2312" w:eastAsia="仿宋_GB2312"/>
          <w:sz w:val="32"/>
          <w:szCs w:val="32"/>
          <w:lang w:eastAsia="zh-CN"/>
        </w:rPr>
        <w:t>、</w:t>
      </w:r>
      <w:r>
        <w:rPr>
          <w:rFonts w:hint="eastAsia" w:ascii="仿宋_GB2312" w:eastAsia="仿宋_GB2312"/>
          <w:sz w:val="32"/>
          <w:szCs w:val="32"/>
          <w:lang w:val="en-US" w:eastAsia="zh-CN"/>
        </w:rPr>
        <w:t>风险控制与关联交易管理委员会、战略规划委员会、信息科技委员会委员</w:t>
      </w:r>
      <w:r>
        <w:rPr>
          <w:rFonts w:hint="eastAsia" w:ascii="仿宋_GB2312" w:eastAsia="仿宋_GB2312"/>
          <w:sz w:val="32"/>
          <w:szCs w:val="32"/>
        </w:rPr>
        <w:t>，评价期内股东大会、董事会、专门委员会会议全部亲自参加，能够按时参加董事培训和董事调研，能够关注本行经营管理情况和风险状况，在董事会上发表独立意见，能够对关联交易公允性以及内部审批程序的执行情况、利润分配方案、高管人员聘任等重大事项发表书面意见，在行内工作时间符合要求。报告期内，未发现损害股东权益、本行利益和违规违纪问题。</w:t>
      </w:r>
    </w:p>
    <w:p>
      <w:pPr>
        <w:keepNext w:val="0"/>
        <w:keepLines w:val="0"/>
        <w:pageBreakBefore w:val="0"/>
        <w:kinsoku/>
        <w:wordWrap/>
        <w:autoSpaceDE/>
        <w:autoSpaceDN/>
        <w:bidi w:val="0"/>
        <w:adjustRightInd/>
        <w:snapToGrid/>
        <w:spacing w:line="540" w:lineRule="exact"/>
        <w:ind w:left="0" w:right="0" w:firstLine="640" w:firstLineChars="200"/>
        <w:textAlignment w:val="auto"/>
        <w:rPr>
          <w:rFonts w:hint="eastAsia" w:ascii="仿宋_GB2312" w:eastAsia="仿宋_GB2312"/>
          <w:sz w:val="32"/>
          <w:szCs w:val="32"/>
        </w:rPr>
      </w:pPr>
      <w:r>
        <w:rPr>
          <w:rFonts w:ascii="仿宋_GB2312" w:eastAsia="仿宋_GB2312"/>
          <w:sz w:val="32"/>
          <w:szCs w:val="32"/>
        </w:rPr>
        <w:t>李华平，</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任本行独立董事，担任消费者权益保护工作委员会主任委员，评价期内股东大会、董事会、专门委员会会议全部亲自参加，能够按时参加董事培训和董事调研，能够关注本行经营管理情况和风险状况，在董事会上发表独立意见，能够对关联交易公允性以及内部审批程序的执行情况、利润分配方案、高管人员聘任等重大事项发表书面意见，在行内工作时间符合要求。报告期内，未发现损害股东权益、本行利益和违规违纪问题。</w:t>
      </w:r>
    </w:p>
    <w:p>
      <w:pPr>
        <w:pStyle w:val="2"/>
        <w:keepNext w:val="0"/>
        <w:keepLines w:val="0"/>
        <w:pageBreakBefore w:val="0"/>
        <w:kinsoku/>
        <w:wordWrap/>
        <w:autoSpaceDE/>
        <w:autoSpaceDN/>
        <w:bidi w:val="0"/>
        <w:adjustRightInd/>
        <w:snapToGrid/>
        <w:spacing w:after="0" w:line="540" w:lineRule="exact"/>
        <w:ind w:left="0" w:right="0" w:firstLine="640" w:firstLineChars="200"/>
        <w:textAlignment w:val="auto"/>
        <w:rPr>
          <w:rFonts w:hint="default" w:eastAsia="仿宋_GB2312"/>
          <w:sz w:val="32"/>
          <w:szCs w:val="32"/>
          <w:lang w:val="en-US" w:eastAsia="zh-CN"/>
        </w:rPr>
      </w:pPr>
      <w:r>
        <w:rPr>
          <w:rFonts w:hint="eastAsia" w:ascii="仿宋_GB2312" w:eastAsia="仿宋_GB2312"/>
          <w:sz w:val="32"/>
          <w:szCs w:val="32"/>
          <w:lang w:val="en-US" w:eastAsia="zh-CN"/>
        </w:rPr>
        <w:t>因新聘独立董事</w:t>
      </w:r>
      <w:r>
        <w:rPr>
          <w:rFonts w:hint="eastAsia" w:ascii="仿宋_GB2312" w:eastAsia="仿宋_GB2312"/>
          <w:sz w:val="32"/>
          <w:szCs w:val="32"/>
          <w:highlight w:val="none"/>
        </w:rPr>
        <w:t>武秀敏、侯海军</w:t>
      </w:r>
      <w:r>
        <w:rPr>
          <w:rFonts w:hint="eastAsia" w:ascii="仿宋_GB2312" w:eastAsia="仿宋_GB2312"/>
          <w:sz w:val="32"/>
          <w:szCs w:val="32"/>
          <w:highlight w:val="none"/>
          <w:lang w:val="en-US" w:eastAsia="zh-CN"/>
        </w:rPr>
        <w:t>尚未取得任职资格，本次不予评价。</w:t>
      </w:r>
    </w:p>
    <w:p>
      <w:pPr>
        <w:pStyle w:val="8"/>
        <w:keepNext w:val="0"/>
        <w:keepLines w:val="0"/>
        <w:pageBreakBefore w:val="0"/>
        <w:numPr>
          <w:ilvl w:val="0"/>
          <w:numId w:val="2"/>
        </w:numPr>
        <w:kinsoku/>
        <w:wordWrap/>
        <w:overflowPunct/>
        <w:topLinePunct w:val="0"/>
        <w:autoSpaceDE/>
        <w:autoSpaceDN/>
        <w:bidi w:val="0"/>
        <w:adjustRightInd/>
        <w:snapToGrid/>
        <w:spacing w:line="540" w:lineRule="exact"/>
        <w:ind w:left="0" w:right="0" w:firstLine="643" w:firstLineChars="200"/>
        <w:textAlignment w:val="auto"/>
        <w:rPr>
          <w:rFonts w:hint="eastAsia" w:ascii="仿宋_GB2312" w:eastAsia="仿宋_GB2312" w:cs="Times New Roman"/>
          <w:b/>
          <w:sz w:val="32"/>
          <w:szCs w:val="32"/>
          <w:lang w:eastAsia="zh-CN"/>
        </w:rPr>
      </w:pPr>
      <w:r>
        <w:rPr>
          <w:rFonts w:hint="eastAsia" w:ascii="仿宋_GB2312" w:eastAsia="仿宋_GB2312" w:cs="Times New Roman"/>
          <w:b/>
          <w:sz w:val="32"/>
          <w:szCs w:val="32"/>
        </w:rPr>
        <w:t>监事会构成及其工作情况。</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截至202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年6月</w:t>
      </w:r>
      <w:r>
        <w:rPr>
          <w:rFonts w:hint="eastAsia" w:ascii="仿宋_GB2312" w:eastAsia="仿宋_GB2312"/>
          <w:sz w:val="32"/>
          <w:szCs w:val="32"/>
          <w:highlight w:val="none"/>
          <w:lang w:val="en-US" w:eastAsia="zh-CN"/>
        </w:rPr>
        <w:t>30日，我行不再设监事会</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履职时间截止为2025年6月7日，存续期间</w:t>
      </w:r>
      <w:r>
        <w:rPr>
          <w:rFonts w:hint="eastAsia" w:ascii="仿宋_GB2312" w:eastAsia="仿宋_GB2312"/>
          <w:sz w:val="32"/>
          <w:szCs w:val="32"/>
          <w:highlight w:val="none"/>
        </w:rPr>
        <w:t>我行监事会共14名监事，其中职工监事4人，分别为沈珠谊、邵明春、徐劲、郁文华，股权监事5人，分别为金光宝、陈明华、张卫、钱兆春、范邦常，外部监事5人，分别为刘艳华、杜晓荣、黄俊青、武秀敏、侯海军。监事会下设提名与履职考评委员会、监督委员会。监事会成员均有足够的时间和精力履行职责，并承诺勤勉尽职，积极完成监事会指派的监督任务。</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 监事会依据法律法规、我行章程及股东大会赋予的权力，对董事会和高级管理层行使有效日常监督检查权，202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上半年履职期间</w:t>
      </w:r>
      <w:r>
        <w:rPr>
          <w:rFonts w:hint="eastAsia" w:ascii="仿宋_GB2312" w:eastAsia="仿宋_GB2312"/>
          <w:sz w:val="32"/>
          <w:szCs w:val="32"/>
          <w:highlight w:val="none"/>
        </w:rPr>
        <w:t>，共召开监事会会议2次，审议审核议案</w:t>
      </w:r>
      <w:r>
        <w:rPr>
          <w:rFonts w:hint="eastAsia" w:ascii="仿宋_GB2312" w:eastAsia="仿宋_GB2312"/>
          <w:sz w:val="32"/>
          <w:szCs w:val="32"/>
          <w:highlight w:val="none"/>
          <w:lang w:val="en-US" w:eastAsia="zh-CN"/>
        </w:rPr>
        <w:t>16</w:t>
      </w:r>
      <w:r>
        <w:rPr>
          <w:rFonts w:hint="eastAsia" w:ascii="仿宋_GB2312" w:eastAsia="仿宋_GB2312"/>
          <w:sz w:val="32"/>
          <w:szCs w:val="32"/>
          <w:highlight w:val="none"/>
        </w:rPr>
        <w:t>项，参会监事认真审议各项议案，独立发表意见。对董事会、高级管理层及监事履职情况进行监督。监事会成员列席了每一次董事会会议，审阅会议文件，对董事会审议通过的各项议案的内容、审议程序的合法性、合规性进行监督。监事会派代表按时列席行长办公会等重要活动，了解和掌握本行在战略规划、内部控制、风险管理、关联交易、薪酬考核、风险处置等方面的具体情况，并适时建言献策。高度关注内部控制及风险管理，抓实稽核审计和监督检查。指导稽核审计部积极探索审计思路，围绕执规执纪、合规守法经营、内控制度落实和规范管理，防范风险等开展稽核审计，不断提高稽核效率和质量，发挥审计监督职能。监事会对年度利润分配方案、年度财务预决算方案进行了审议，认为本行年度利润分配方案、年度财务预决算方案合规、真实、完整、准确。</w:t>
      </w:r>
    </w:p>
    <w:p>
      <w:pPr>
        <w:keepNext w:val="0"/>
        <w:keepLines w:val="0"/>
        <w:pageBreakBefore w:val="0"/>
        <w:widowControl/>
        <w:shd w:val="clear" w:color="auto" w:fill="FFFFFF"/>
        <w:kinsoku/>
        <w:wordWrap/>
        <w:overflowPunct/>
        <w:topLinePunct w:val="0"/>
        <w:autoSpaceDE/>
        <w:autoSpaceDN/>
        <w:bidi w:val="0"/>
        <w:adjustRightInd/>
        <w:snapToGrid/>
        <w:spacing w:line="540" w:lineRule="exact"/>
        <w:ind w:left="0" w:right="0" w:firstLine="640" w:firstLineChars="2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年上半年</w:t>
      </w:r>
      <w:r>
        <w:rPr>
          <w:rFonts w:hint="eastAsia" w:ascii="仿宋_GB2312" w:eastAsia="仿宋_GB2312"/>
          <w:sz w:val="32"/>
          <w:szCs w:val="32"/>
          <w:highlight w:val="none"/>
          <w:lang w:val="en-US" w:eastAsia="zh-CN"/>
        </w:rPr>
        <w:t>期间</w:t>
      </w:r>
      <w:r>
        <w:rPr>
          <w:rFonts w:hint="eastAsia" w:ascii="仿宋_GB2312" w:eastAsia="仿宋_GB2312"/>
          <w:sz w:val="32"/>
          <w:szCs w:val="32"/>
          <w:highlight w:val="none"/>
        </w:rPr>
        <w:t>，外部监事刘艳华、杜晓荣分别担任提名与履职考评委员会主任、监督委员会主任，外部监事重点关注存款人和本行整体利益以及全面风险管理体制机制建立和完善情况、风险偏好和限额制定及遵守情。</w:t>
      </w:r>
    </w:p>
    <w:p>
      <w:pPr>
        <w:keepNext w:val="0"/>
        <w:keepLines w:val="0"/>
        <w:pageBreakBefore w:val="0"/>
        <w:widowControl/>
        <w:shd w:val="clear" w:color="auto" w:fill="FFFFFF"/>
        <w:kinsoku/>
        <w:wordWrap/>
        <w:autoSpaceDE/>
        <w:autoSpaceDN/>
        <w:bidi w:val="0"/>
        <w:adjustRightInd/>
        <w:snapToGrid/>
        <w:spacing w:line="540" w:lineRule="exact"/>
        <w:ind w:left="0" w:right="0" w:firstLine="643" w:firstLineChars="200"/>
        <w:jc w:val="left"/>
        <w:textAlignment w:val="auto"/>
        <w:rPr>
          <w:rFonts w:ascii="仿宋_GB2312" w:hAnsi="微软雅黑" w:eastAsia="仿宋_GB2312" w:cs="宋体"/>
          <w:b/>
          <w:bCs/>
          <w:kern w:val="0"/>
          <w:sz w:val="32"/>
          <w:szCs w:val="32"/>
        </w:rPr>
      </w:pPr>
      <w:r>
        <w:rPr>
          <w:rFonts w:hint="eastAsia" w:ascii="仿宋_GB2312" w:hAnsi="微软雅黑" w:eastAsia="仿宋_GB2312" w:cs="宋体"/>
          <w:b/>
          <w:bCs/>
          <w:kern w:val="0"/>
          <w:sz w:val="32"/>
          <w:szCs w:val="32"/>
          <w:lang w:eastAsia="zh-CN"/>
        </w:rPr>
        <w:t>（</w:t>
      </w:r>
      <w:r>
        <w:rPr>
          <w:rFonts w:hint="eastAsia" w:ascii="仿宋_GB2312" w:hAnsi="微软雅黑" w:eastAsia="仿宋_GB2312" w:cs="宋体"/>
          <w:b/>
          <w:bCs/>
          <w:kern w:val="0"/>
          <w:sz w:val="32"/>
          <w:szCs w:val="32"/>
          <w:lang w:val="en-US" w:eastAsia="zh-CN"/>
        </w:rPr>
        <w:t>五</w:t>
      </w:r>
      <w:r>
        <w:rPr>
          <w:rFonts w:hint="eastAsia" w:ascii="仿宋_GB2312" w:hAnsi="微软雅黑" w:eastAsia="仿宋_GB2312" w:cs="宋体"/>
          <w:b/>
          <w:bCs/>
          <w:kern w:val="0"/>
          <w:sz w:val="32"/>
          <w:szCs w:val="32"/>
          <w:lang w:eastAsia="zh-CN"/>
        </w:rPr>
        <w:t>）</w:t>
      </w:r>
      <w:r>
        <w:rPr>
          <w:rFonts w:hint="eastAsia" w:ascii="仿宋_GB2312" w:hAnsi="微软雅黑" w:eastAsia="仿宋_GB2312" w:cs="宋体"/>
          <w:b/>
          <w:bCs/>
          <w:kern w:val="0"/>
          <w:sz w:val="32"/>
          <w:szCs w:val="32"/>
        </w:rPr>
        <w:t>高级管理层构成及其基本情况。</w:t>
      </w:r>
    </w:p>
    <w:p>
      <w:pPr>
        <w:keepNext w:val="0"/>
        <w:keepLines w:val="0"/>
        <w:pageBreakBefore w:val="0"/>
        <w:widowControl/>
        <w:kinsoku/>
        <w:wordWrap/>
        <w:autoSpaceDE/>
        <w:autoSpaceDN/>
        <w:bidi w:val="0"/>
        <w:adjustRightInd/>
        <w:snapToGrid/>
        <w:spacing w:line="540" w:lineRule="exact"/>
        <w:ind w:left="0" w:right="0" w:firstLine="640" w:firstLineChars="200"/>
        <w:textAlignment w:val="auto"/>
        <w:rPr>
          <w:rFonts w:ascii="仿宋_GB2312" w:hAnsi="微软雅黑" w:eastAsia="仿宋_GB2312" w:cs="宋体"/>
          <w:kern w:val="0"/>
          <w:sz w:val="32"/>
          <w:szCs w:val="32"/>
        </w:rPr>
      </w:pPr>
      <w:r>
        <w:rPr>
          <w:rFonts w:hint="eastAsia" w:ascii="仿宋_GB2312" w:hAnsi="微软雅黑" w:eastAsia="仿宋_GB2312" w:cs="宋体"/>
          <w:kern w:val="0"/>
          <w:sz w:val="32"/>
          <w:szCs w:val="32"/>
        </w:rPr>
        <w:t>截至202</w:t>
      </w:r>
      <w:r>
        <w:rPr>
          <w:rFonts w:ascii="仿宋_GB2312" w:hAnsi="微软雅黑" w:eastAsia="仿宋_GB2312" w:cs="宋体"/>
          <w:kern w:val="0"/>
          <w:sz w:val="32"/>
          <w:szCs w:val="32"/>
        </w:rPr>
        <w:t>5</w:t>
      </w:r>
      <w:r>
        <w:rPr>
          <w:rFonts w:hint="eastAsia" w:ascii="仿宋_GB2312" w:hAnsi="微软雅黑" w:eastAsia="仿宋_GB2312" w:cs="宋体"/>
          <w:kern w:val="0"/>
          <w:sz w:val="32"/>
          <w:szCs w:val="32"/>
        </w:rPr>
        <w:t>年</w:t>
      </w:r>
      <w:r>
        <w:rPr>
          <w:rFonts w:ascii="仿宋_GB2312" w:hAnsi="微软雅黑" w:eastAsia="仿宋_GB2312" w:cs="宋体"/>
          <w:kern w:val="0"/>
          <w:sz w:val="32"/>
          <w:szCs w:val="32"/>
        </w:rPr>
        <w:t>12</w:t>
      </w:r>
      <w:r>
        <w:rPr>
          <w:rFonts w:hint="eastAsia" w:ascii="仿宋_GB2312" w:hAnsi="微软雅黑" w:eastAsia="仿宋_GB2312" w:cs="宋体"/>
          <w:kern w:val="0"/>
          <w:sz w:val="32"/>
          <w:szCs w:val="32"/>
        </w:rPr>
        <w:t>月末，本行高级管理层由1名行长、</w:t>
      </w:r>
      <w:r>
        <w:rPr>
          <w:rFonts w:ascii="仿宋_GB2312" w:hAnsi="微软雅黑" w:eastAsia="仿宋_GB2312" w:cs="宋体"/>
          <w:kern w:val="0"/>
          <w:sz w:val="32"/>
          <w:szCs w:val="32"/>
        </w:rPr>
        <w:t>4</w:t>
      </w:r>
      <w:r>
        <w:rPr>
          <w:rFonts w:hint="eastAsia" w:ascii="仿宋_GB2312" w:hAnsi="微软雅黑" w:eastAsia="仿宋_GB2312" w:cs="宋体"/>
          <w:kern w:val="0"/>
          <w:sz w:val="32"/>
          <w:szCs w:val="32"/>
        </w:rPr>
        <w:t>名副行长构成，其中行长由陈庚新担任，副行长为陈清、孟祥法、张继甫、李柯铭。高级管理层能够根据授权和转授权范围内认真履职，围绕中心，服务大局，抓好衔接和配合，积极有效履职尽责，推动股东大会和董事会决策落实。</w:t>
      </w:r>
    </w:p>
    <w:p>
      <w:pPr>
        <w:keepNext w:val="0"/>
        <w:keepLines w:val="0"/>
        <w:pageBreakBefore w:val="0"/>
        <w:widowControl/>
        <w:kinsoku/>
        <w:wordWrap/>
        <w:overflowPunct/>
        <w:topLinePunct w:val="0"/>
        <w:autoSpaceDE/>
        <w:autoSpaceDN/>
        <w:bidi w:val="0"/>
        <w:adjustRightInd/>
        <w:snapToGrid/>
        <w:spacing w:line="540" w:lineRule="exact"/>
        <w:ind w:left="0" w:right="0" w:firstLine="643" w:firstLineChars="200"/>
        <w:textAlignment w:val="auto"/>
        <w:rPr>
          <w:rFonts w:hint="eastAsia" w:ascii="仿宋_GB2312"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eastAsia" w:ascii="仿宋_GB2312" w:hAnsi="微软雅黑" w:eastAsia="仿宋_GB2312" w:cs="宋体"/>
          <w:b/>
          <w:bCs/>
          <w:kern w:val="0"/>
          <w:sz w:val="32"/>
          <w:szCs w:val="32"/>
        </w:rPr>
        <w:t>（五）薪酬管理情况。</w:t>
      </w:r>
      <w:r>
        <w:rPr>
          <w:rFonts w:hint="eastAsia" w:ascii="仿宋_GB2312" w:hAnsi="微软雅黑" w:eastAsia="仿宋_GB2312" w:cs="宋体"/>
          <w:kern w:val="0"/>
          <w:sz w:val="32"/>
          <w:szCs w:val="32"/>
        </w:rPr>
        <w:t>推行绩效工资延期支付制度，其中董事长、行长延期支付比例为5</w:t>
      </w:r>
      <w:r>
        <w:rPr>
          <w:rFonts w:ascii="仿宋_GB2312" w:hAnsi="微软雅黑" w:eastAsia="仿宋_GB2312" w:cs="宋体"/>
          <w:kern w:val="0"/>
          <w:sz w:val="32"/>
          <w:szCs w:val="32"/>
        </w:rPr>
        <w:t>1</w:t>
      </w:r>
      <w:r>
        <w:rPr>
          <w:rFonts w:hint="eastAsia" w:ascii="仿宋_GB2312" w:hAnsi="微软雅黑" w:eastAsia="仿宋_GB2312" w:cs="宋体"/>
          <w:kern w:val="0"/>
          <w:sz w:val="32"/>
          <w:szCs w:val="32"/>
        </w:rPr>
        <w:t>%，分管资金业务高管为60%，其他高管人员延期支付比例为4</w:t>
      </w:r>
      <w:r>
        <w:rPr>
          <w:rFonts w:ascii="仿宋_GB2312" w:hAnsi="微软雅黑" w:eastAsia="仿宋_GB2312" w:cs="宋体"/>
          <w:kern w:val="0"/>
          <w:sz w:val="32"/>
          <w:szCs w:val="32"/>
        </w:rPr>
        <w:t>1</w:t>
      </w:r>
      <w:r>
        <w:rPr>
          <w:rFonts w:hint="eastAsia" w:ascii="仿宋_GB2312" w:hAnsi="微软雅黑" w:eastAsia="仿宋_GB2312" w:cs="宋体"/>
          <w:kern w:val="0"/>
          <w:sz w:val="32"/>
          <w:szCs w:val="32"/>
        </w:rPr>
        <w:t>%，按照薪酬管理要求进行发放。</w:t>
      </w:r>
      <w:r>
        <w:rPr>
          <w:rFonts w:ascii="仿宋_GB2312" w:hAnsi="微软雅黑" w:eastAsia="仿宋_GB2312" w:cs="宋体"/>
          <w:kern w:val="0"/>
          <w:sz w:val="32"/>
          <w:szCs w:val="32"/>
        </w:rPr>
        <w:t>2025年累计列支董事、高级管理人员税前薪酬1084.86万元。</w:t>
      </w:r>
      <w:r>
        <w:rPr>
          <w:rFonts w:hint="eastAsia" w:ascii="仿宋_GB2312" w:hAnsi="微软雅黑" w:eastAsia="仿宋_GB2312" w:cs="宋体"/>
          <w:kern w:val="0"/>
          <w:sz w:val="32"/>
          <w:szCs w:val="32"/>
        </w:rPr>
        <w:t>同时与任内履职情况和经营风险挂钩，增强了高管层履职意识和风险管理意识。</w:t>
      </w:r>
    </w:p>
    <w:p>
      <w:pPr>
        <w:keepNext w:val="0"/>
        <w:keepLines w:val="0"/>
        <w:pageBreakBefore w:val="0"/>
        <w:kinsoku/>
        <w:wordWrap/>
        <w:overflowPunct/>
        <w:topLinePunct w:val="0"/>
        <w:autoSpaceDE/>
        <w:autoSpaceDN/>
        <w:bidi w:val="0"/>
        <w:adjustRightInd/>
        <w:snapToGrid/>
        <w:spacing w:line="540" w:lineRule="exact"/>
        <w:ind w:left="0" w:right="0" w:firstLine="643" w:firstLineChars="200"/>
        <w:textAlignment w:val="auto"/>
        <w:rPr>
          <w:rFonts w:ascii="仿宋_GB2312" w:eastAsia="仿宋_GB2312"/>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（七）对本行公司治理的整体评价情况。</w:t>
      </w:r>
      <w:r>
        <w:rPr>
          <w:rFonts w:hint="eastAsia" w:ascii="仿宋_GB2312" w:eastAsia="仿宋_GB2312"/>
          <w:color w:val="000000" w:themeColor="text1"/>
          <w:sz w:val="32"/>
          <w:szCs w:val="32"/>
          <w14:textFill>
            <w14:solidFill>
              <w14:schemeClr w14:val="tx1"/>
            </w14:solidFill>
          </w14:textFill>
        </w:rPr>
        <w:t>202</w:t>
      </w: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年，本行“</w:t>
      </w:r>
      <w:r>
        <w:rPr>
          <w:rFonts w:hint="eastAsia" w:ascii="仿宋_GB2312" w:eastAsia="仿宋_GB2312"/>
          <w:color w:val="000000" w:themeColor="text1"/>
          <w:sz w:val="32"/>
          <w:szCs w:val="32"/>
          <w:lang w:val="en-US" w:eastAsia="zh-CN"/>
          <w14:textFill>
            <w14:solidFill>
              <w14:schemeClr w14:val="tx1"/>
            </w14:solidFill>
          </w14:textFill>
        </w:rPr>
        <w:t>二</w:t>
      </w:r>
      <w:r>
        <w:rPr>
          <w:rFonts w:ascii="仿宋_GB2312" w:eastAsia="仿宋_GB2312"/>
          <w:color w:val="000000" w:themeColor="text1"/>
          <w:sz w:val="32"/>
          <w:szCs w:val="32"/>
          <w14:textFill>
            <w14:solidFill>
              <w14:schemeClr w14:val="tx1"/>
            </w14:solidFill>
          </w14:textFill>
        </w:rPr>
        <w:t>会一层</w:t>
      </w:r>
      <w:r>
        <w:rPr>
          <w:rFonts w:hint="eastAsia" w:ascii="仿宋_GB2312" w:eastAsia="仿宋_GB2312"/>
          <w:color w:val="000000" w:themeColor="text1"/>
          <w:sz w:val="32"/>
          <w:szCs w:val="32"/>
          <w14:textFill>
            <w14:solidFill>
              <w14:schemeClr w14:val="tx1"/>
            </w14:solidFill>
          </w14:textFill>
        </w:rPr>
        <w:t>”组织</w:t>
      </w:r>
      <w:r>
        <w:rPr>
          <w:rFonts w:ascii="仿宋_GB2312" w:eastAsia="仿宋_GB2312"/>
          <w:color w:val="000000" w:themeColor="text1"/>
          <w:sz w:val="32"/>
          <w:szCs w:val="32"/>
          <w14:textFill>
            <w14:solidFill>
              <w14:schemeClr w14:val="tx1"/>
            </w14:solidFill>
          </w14:textFill>
        </w:rPr>
        <w:t>架构健全</w:t>
      </w:r>
      <w:r>
        <w:rPr>
          <w:rFonts w:hint="eastAsia" w:ascii="仿宋_GB2312" w:eastAsia="仿宋_GB2312"/>
          <w:color w:val="000000" w:themeColor="text1"/>
          <w:sz w:val="32"/>
          <w:szCs w:val="32"/>
          <w14:textFill>
            <w14:solidFill>
              <w14:schemeClr w14:val="tx1"/>
            </w14:solidFill>
          </w14:textFill>
        </w:rPr>
        <w:t>、运作</w:t>
      </w:r>
      <w:r>
        <w:rPr>
          <w:rFonts w:ascii="仿宋_GB2312" w:eastAsia="仿宋_GB2312"/>
          <w:color w:val="000000" w:themeColor="text1"/>
          <w:sz w:val="32"/>
          <w:szCs w:val="32"/>
          <w14:textFill>
            <w14:solidFill>
              <w14:schemeClr w14:val="tx1"/>
            </w14:solidFill>
          </w14:textFill>
        </w:rPr>
        <w:t>规范</w:t>
      </w:r>
      <w:r>
        <w:rPr>
          <w:rFonts w:hint="eastAsia" w:ascii="仿宋_GB2312" w:eastAsia="仿宋_GB2312"/>
          <w:color w:val="000000" w:themeColor="text1"/>
          <w:sz w:val="32"/>
          <w:szCs w:val="32"/>
          <w14:textFill>
            <w14:solidFill>
              <w14:schemeClr w14:val="tx1"/>
            </w14:solidFill>
          </w14:textFill>
        </w:rPr>
        <w:t>，规范提案、议案和报告筹备的路径和方式，将会议材料及会议通知及时发送到股东、董事，确保参会人员具有充裕时间审阅材料</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并完成了监事会改革，由董事会审计委员会履行监督职能</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二</w:t>
      </w:r>
      <w:r>
        <w:rPr>
          <w:rFonts w:hint="eastAsia" w:ascii="仿宋_GB2312" w:eastAsia="仿宋_GB2312"/>
          <w:color w:val="000000" w:themeColor="text1"/>
          <w:sz w:val="32"/>
          <w:szCs w:val="32"/>
          <w14:textFill>
            <w14:solidFill>
              <w14:schemeClr w14:val="tx1"/>
            </w14:solidFill>
          </w14:textFill>
        </w:rPr>
        <w:t>会”审议和表决严格按照公司法的规定程序进行，认真审查会议登记、参会人数及参会人员的合法、合规性，实行股东大会法律见证和律师资格审查制度，确保“</w:t>
      </w:r>
      <w:r>
        <w:rPr>
          <w:rFonts w:hint="eastAsia" w:ascii="仿宋_GB2312" w:eastAsia="仿宋_GB2312"/>
          <w:color w:val="000000" w:themeColor="text1"/>
          <w:sz w:val="32"/>
          <w:szCs w:val="32"/>
          <w:lang w:val="en-US" w:eastAsia="zh-CN"/>
          <w14:textFill>
            <w14:solidFill>
              <w14:schemeClr w14:val="tx1"/>
            </w14:solidFill>
          </w14:textFill>
        </w:rPr>
        <w:t>二</w:t>
      </w:r>
      <w:r>
        <w:rPr>
          <w:rFonts w:hint="eastAsia" w:ascii="仿宋_GB2312" w:eastAsia="仿宋_GB2312"/>
          <w:color w:val="000000" w:themeColor="text1"/>
          <w:sz w:val="32"/>
          <w:szCs w:val="32"/>
          <w14:textFill>
            <w14:solidFill>
              <w14:schemeClr w14:val="tx1"/>
            </w14:solidFill>
          </w14:textFill>
        </w:rPr>
        <w:t>会”合法有效。“</w:t>
      </w:r>
      <w:r>
        <w:rPr>
          <w:rFonts w:hint="eastAsia" w:ascii="仿宋_GB2312" w:eastAsia="仿宋_GB2312"/>
          <w:color w:val="000000" w:themeColor="text1"/>
          <w:sz w:val="32"/>
          <w:szCs w:val="32"/>
          <w:lang w:val="en-US" w:eastAsia="zh-CN"/>
          <w14:textFill>
            <w14:solidFill>
              <w14:schemeClr w14:val="tx1"/>
            </w14:solidFill>
          </w14:textFill>
        </w:rPr>
        <w:t>二</w:t>
      </w:r>
      <w:r>
        <w:rPr>
          <w:rFonts w:hint="eastAsia" w:ascii="仿宋_GB2312" w:eastAsia="仿宋_GB2312"/>
          <w:color w:val="000000" w:themeColor="text1"/>
          <w:sz w:val="32"/>
          <w:szCs w:val="32"/>
          <w14:textFill>
            <w14:solidFill>
              <w14:schemeClr w14:val="tx1"/>
            </w14:solidFill>
          </w14:textFill>
        </w:rPr>
        <w:t>会”能够严格按照各自职能范畴，履行各自的决议、决策职能，无违反法律、法规决策现象，年内召开的“</w:t>
      </w:r>
      <w:r>
        <w:rPr>
          <w:rFonts w:hint="eastAsia" w:ascii="仿宋_GB2312" w:eastAsia="仿宋_GB2312"/>
          <w:color w:val="000000" w:themeColor="text1"/>
          <w:sz w:val="32"/>
          <w:szCs w:val="32"/>
          <w:lang w:val="en-US" w:eastAsia="zh-CN"/>
          <w14:textFill>
            <w14:solidFill>
              <w14:schemeClr w14:val="tx1"/>
            </w14:solidFill>
          </w14:textFill>
        </w:rPr>
        <w:t>二</w:t>
      </w:r>
      <w:r>
        <w:rPr>
          <w:rFonts w:hint="eastAsia" w:ascii="仿宋_GB2312" w:eastAsia="仿宋_GB2312"/>
          <w:color w:val="000000" w:themeColor="text1"/>
          <w:sz w:val="32"/>
          <w:szCs w:val="32"/>
          <w14:textFill>
            <w14:solidFill>
              <w14:schemeClr w14:val="tx1"/>
            </w14:solidFill>
          </w14:textFill>
        </w:rPr>
        <w:t>会”会议记录完整齐全，签字手续完整、规范。董事会及各专门委员会运作趋于规范，各专门委员会均能够按照其工作制度开展工作，定期召开专门委员会会议，对需要相关专门委员会事先审查的决策事项，在专门委员会形成有效意见后，提交董事会、</w:t>
      </w:r>
      <w:r>
        <w:rPr>
          <w:rFonts w:hint="eastAsia" w:ascii="仿宋_GB2312" w:eastAsia="仿宋_GB2312"/>
          <w:color w:val="000000" w:themeColor="text1"/>
          <w:sz w:val="32"/>
          <w:szCs w:val="32"/>
          <w:lang w:val="en-US" w:eastAsia="zh-CN"/>
          <w14:textFill>
            <w14:solidFill>
              <w14:schemeClr w14:val="tx1"/>
            </w14:solidFill>
          </w14:textFill>
        </w:rPr>
        <w:t>审计委员会</w:t>
      </w:r>
      <w:r>
        <w:rPr>
          <w:rFonts w:hint="eastAsia" w:ascii="仿宋_GB2312" w:eastAsia="仿宋_GB2312"/>
          <w:color w:val="000000" w:themeColor="text1"/>
          <w:sz w:val="32"/>
          <w:szCs w:val="32"/>
          <w:lang w:eastAsia="zh-CN"/>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监事会</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决策。经营层能够及时为董</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监</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事履职提供必要的信息和资源，明确专门委员会落实部门。</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202</w:t>
      </w: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年，本行董事会</w:t>
      </w:r>
      <w:r>
        <w:rPr>
          <w:rFonts w:ascii="仿宋_GB2312" w:eastAsia="仿宋_GB2312"/>
          <w:color w:val="000000" w:themeColor="text1"/>
          <w:sz w:val="32"/>
          <w:szCs w:val="32"/>
          <w14:textFill>
            <w14:solidFill>
              <w14:schemeClr w14:val="tx1"/>
            </w14:solidFill>
          </w14:textFill>
        </w:rPr>
        <w:t>按照</w:t>
      </w:r>
      <w:r>
        <w:rPr>
          <w:rFonts w:hint="eastAsia" w:ascii="仿宋_GB2312" w:eastAsia="仿宋_GB2312"/>
          <w:color w:val="000000" w:themeColor="text1"/>
          <w:sz w:val="32"/>
          <w:szCs w:val="32"/>
          <w14:textFill>
            <w14:solidFill>
              <w14:schemeClr w14:val="tx1"/>
            </w14:solidFill>
          </w14:textFill>
        </w:rPr>
        <w:t>监管</w:t>
      </w:r>
      <w:r>
        <w:rPr>
          <w:rFonts w:ascii="仿宋_GB2312" w:eastAsia="仿宋_GB2312"/>
          <w:color w:val="000000" w:themeColor="text1"/>
          <w:sz w:val="32"/>
          <w:szCs w:val="32"/>
          <w14:textFill>
            <w14:solidFill>
              <w14:schemeClr w14:val="tx1"/>
            </w14:solidFill>
          </w14:textFill>
        </w:rPr>
        <w:t>文件</w:t>
      </w:r>
      <w:r>
        <w:rPr>
          <w:rFonts w:hint="eastAsia" w:ascii="仿宋_GB2312" w:eastAsia="仿宋_GB2312"/>
          <w:color w:val="000000" w:themeColor="text1"/>
          <w:sz w:val="32"/>
          <w:szCs w:val="32"/>
          <w14:textFill>
            <w14:solidFill>
              <w14:schemeClr w14:val="tx1"/>
            </w14:solidFill>
          </w14:textFill>
        </w:rPr>
        <w:t>要求</w:t>
      </w:r>
      <w:r>
        <w:rPr>
          <w:rFonts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对</w:t>
      </w:r>
      <w:r>
        <w:rPr>
          <w:rFonts w:ascii="仿宋_GB2312" w:eastAsia="仿宋_GB2312"/>
          <w:color w:val="000000" w:themeColor="text1"/>
          <w:sz w:val="32"/>
          <w:szCs w:val="32"/>
          <w14:textFill>
            <w14:solidFill>
              <w14:schemeClr w14:val="tx1"/>
            </w14:solidFill>
          </w14:textFill>
        </w:rPr>
        <w:t>本行公司治理的合规性评价、有效性评价、</w:t>
      </w:r>
      <w:r>
        <w:rPr>
          <w:rFonts w:hint="eastAsia" w:ascii="仿宋_GB2312" w:eastAsia="仿宋_GB2312"/>
          <w:color w:val="000000" w:themeColor="text1"/>
          <w:sz w:val="32"/>
          <w:szCs w:val="32"/>
          <w14:textFill>
            <w14:solidFill>
              <w14:schemeClr w14:val="tx1"/>
            </w14:solidFill>
          </w14:textFill>
        </w:rPr>
        <w:t>重大事项调降</w:t>
      </w:r>
      <w:r>
        <w:rPr>
          <w:rFonts w:ascii="仿宋_GB2312" w:eastAsia="仿宋_GB2312"/>
          <w:color w:val="000000" w:themeColor="text1"/>
          <w:sz w:val="32"/>
          <w:szCs w:val="32"/>
          <w14:textFill>
            <w14:solidFill>
              <w14:schemeClr w14:val="tx1"/>
            </w14:solidFill>
          </w14:textFill>
        </w:rPr>
        <w:t>评级等</w:t>
      </w:r>
      <w:r>
        <w:rPr>
          <w:rFonts w:hint="eastAsia" w:ascii="仿宋_GB2312" w:eastAsia="仿宋_GB2312"/>
          <w:color w:val="000000" w:themeColor="text1"/>
          <w:sz w:val="32"/>
          <w:szCs w:val="32"/>
          <w14:textFill>
            <w14:solidFill>
              <w14:schemeClr w14:val="tx1"/>
            </w14:solidFill>
          </w14:textFill>
        </w:rPr>
        <w:t>进行了</w:t>
      </w:r>
      <w:r>
        <w:rPr>
          <w:rFonts w:ascii="仿宋_GB2312" w:eastAsia="仿宋_GB2312"/>
          <w:color w:val="000000" w:themeColor="text1"/>
          <w:sz w:val="32"/>
          <w:szCs w:val="32"/>
          <w14:textFill>
            <w14:solidFill>
              <w14:schemeClr w14:val="tx1"/>
            </w14:solidFill>
          </w14:textFill>
        </w:rPr>
        <w:t>自评，具体</w:t>
      </w:r>
      <w:r>
        <w:rPr>
          <w:rFonts w:hint="eastAsia" w:ascii="仿宋_GB2312" w:eastAsia="仿宋_GB2312"/>
          <w:color w:val="000000" w:themeColor="text1"/>
          <w:sz w:val="32"/>
          <w:szCs w:val="32"/>
          <w14:textFill>
            <w14:solidFill>
              <w14:schemeClr w14:val="tx1"/>
            </w14:solidFill>
          </w14:textFill>
        </w:rPr>
        <w:t>包括党的领导</w:t>
      </w:r>
      <w:r>
        <w:rPr>
          <w:rFonts w:ascii="仿宋_GB2312" w:eastAsia="仿宋_GB2312"/>
          <w:color w:val="000000" w:themeColor="text1"/>
          <w:sz w:val="32"/>
          <w:szCs w:val="32"/>
          <w14:textFill>
            <w14:solidFill>
              <w14:schemeClr w14:val="tx1"/>
            </w14:solidFill>
          </w14:textFill>
        </w:rPr>
        <w:t>、股东治理、董事会治理、</w:t>
      </w:r>
      <w:r>
        <w:rPr>
          <w:rFonts w:hint="eastAsia" w:ascii="仿宋_GB2312" w:eastAsia="仿宋_GB2312"/>
          <w:color w:val="000000" w:themeColor="text1"/>
          <w:sz w:val="32"/>
          <w:szCs w:val="32"/>
          <w:lang w:val="en-US" w:eastAsia="zh-CN"/>
          <w14:textFill>
            <w14:solidFill>
              <w14:schemeClr w14:val="tx1"/>
            </w14:solidFill>
          </w14:textFill>
        </w:rPr>
        <w:t>审计委员会</w:t>
      </w:r>
      <w:r>
        <w:rPr>
          <w:rFonts w:hint="eastAsia" w:ascii="仿宋_GB2312" w:eastAsia="仿宋_GB2312"/>
          <w:color w:val="000000" w:themeColor="text1"/>
          <w:sz w:val="32"/>
          <w:szCs w:val="32"/>
          <w:lang w:eastAsia="zh-CN"/>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监事会</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和</w:t>
      </w:r>
      <w:r>
        <w:rPr>
          <w:rFonts w:ascii="仿宋_GB2312" w:eastAsia="仿宋_GB2312"/>
          <w:color w:val="000000" w:themeColor="text1"/>
          <w:sz w:val="32"/>
          <w:szCs w:val="32"/>
          <w14:textFill>
            <w14:solidFill>
              <w14:schemeClr w14:val="tx1"/>
            </w14:solidFill>
          </w14:textFill>
        </w:rPr>
        <w:t>高管层治理、风险内控、关联交易治理、市场约束、其他利益相关者治理等</w:t>
      </w:r>
      <w:r>
        <w:rPr>
          <w:rFonts w:hint="eastAsia" w:ascii="仿宋_GB2312" w:eastAsia="仿宋_GB2312"/>
          <w:color w:val="000000" w:themeColor="text1"/>
          <w:sz w:val="32"/>
          <w:szCs w:val="32"/>
          <w14:textFill>
            <w14:solidFill>
              <w14:schemeClr w14:val="tx1"/>
            </w14:solidFill>
          </w14:textFill>
        </w:rPr>
        <w:t xml:space="preserve">8个方面。本行公司治理整体评价为良好。 </w:t>
      </w:r>
    </w:p>
    <w:p>
      <w:pPr>
        <w:pStyle w:val="7"/>
        <w:keepNext w:val="0"/>
        <w:keepLines w:val="0"/>
        <w:pageBreakBefore w:val="0"/>
        <w:kinsoku/>
        <w:wordWrap/>
        <w:overflowPunct/>
        <w:topLinePunct w:val="0"/>
        <w:autoSpaceDE/>
        <w:autoSpaceDN/>
        <w:bidi w:val="0"/>
        <w:adjustRightInd/>
        <w:snapToGrid/>
        <w:spacing w:line="540" w:lineRule="exact"/>
        <w:ind w:left="0" w:right="0" w:firstLine="643" w:firstLineChars="200"/>
        <w:textAlignment w:val="auto"/>
        <w:rPr>
          <w:rFonts w:hint="eastAsia" w:hAnsi="Times New Roman" w:eastAsia="仿宋_GB2312"/>
          <w:b/>
          <w:color w:val="000000" w:themeColor="text1"/>
          <w:sz w:val="32"/>
          <w:szCs w:val="32"/>
          <w:lang w:eastAsia="zh-CN"/>
          <w14:textFill>
            <w14:solidFill>
              <w14:schemeClr w14:val="tx1"/>
            </w14:solidFill>
          </w14:textFill>
        </w:rPr>
      </w:pPr>
      <w:r>
        <w:rPr>
          <w:rFonts w:hint="eastAsia" w:hAnsi="Times New Roman"/>
          <w:b/>
          <w:color w:val="000000" w:themeColor="text1"/>
          <w:sz w:val="32"/>
          <w:szCs w:val="32"/>
          <w14:textFill>
            <w14:solidFill>
              <w14:schemeClr w14:val="tx1"/>
            </w14:solidFill>
          </w14:textFill>
        </w:rPr>
        <w:t>（八）部门设置与分支机构设置情况。</w:t>
      </w:r>
    </w:p>
    <w:p>
      <w:pPr>
        <w:keepNext w:val="0"/>
        <w:keepLines w:val="0"/>
        <w:pageBreakBefore w:val="0"/>
        <w:widowControl w:val="0"/>
        <w:numPr>
          <w:ilvl w:val="0"/>
          <w:numId w:val="0"/>
        </w:numPr>
        <w:kinsoku/>
        <w:wordWrap/>
        <w:overflowPunct w:val="0"/>
        <w:topLinePunct/>
        <w:autoSpaceDE/>
        <w:autoSpaceDN/>
        <w:bidi w:val="0"/>
        <w:adjustRightInd/>
        <w:snapToGrid/>
        <w:spacing w:line="540" w:lineRule="exact"/>
        <w:ind w:left="0" w:leftChars="0" w:right="0" w:rightChars="0"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本行设置</w:t>
      </w:r>
      <w:r>
        <w:rPr>
          <w:rFonts w:hint="eastAsia" w:ascii="仿宋_GB2312" w:hAnsi="仿宋_GB2312" w:eastAsia="仿宋_GB2312" w:cs="仿宋_GB2312"/>
          <w:color w:val="000000"/>
          <w:sz w:val="32"/>
          <w:szCs w:val="32"/>
          <w:lang w:val="en-US" w:eastAsia="zh-CN"/>
        </w:rPr>
        <w:t>16个部门，分别为：</w:t>
      </w:r>
      <w:r>
        <w:rPr>
          <w:rFonts w:hint="eastAsia" w:ascii="仿宋_GB2312" w:eastAsia="仿宋_GB2312"/>
          <w:sz w:val="32"/>
          <w:szCs w:val="32"/>
        </w:rPr>
        <w:t>公司金融部（普惠金融部）</w:t>
      </w:r>
      <w:r>
        <w:rPr>
          <w:rFonts w:hint="eastAsia" w:ascii="仿宋_GB2312" w:hAnsi="仿宋_GB2312" w:eastAsia="仿宋_GB2312" w:cs="仿宋_GB2312"/>
          <w:color w:val="000000"/>
          <w:sz w:val="32"/>
          <w:szCs w:val="32"/>
          <w:lang w:eastAsia="zh-CN"/>
        </w:rPr>
        <w:t>，零售</w:t>
      </w:r>
      <w:r>
        <w:rPr>
          <w:rFonts w:hint="eastAsia" w:ascii="仿宋_GB2312" w:hAnsi="仿宋_GB2312" w:eastAsia="仿宋_GB2312" w:cs="仿宋_GB2312"/>
          <w:color w:val="000000"/>
          <w:sz w:val="32"/>
          <w:szCs w:val="32"/>
          <w:lang w:val="en-US" w:eastAsia="zh-CN"/>
        </w:rPr>
        <w:t>金融</w:t>
      </w:r>
      <w:r>
        <w:rPr>
          <w:rFonts w:hint="eastAsia" w:ascii="仿宋_GB2312" w:hAnsi="仿宋_GB2312" w:eastAsia="仿宋_GB2312" w:cs="仿宋_GB2312"/>
          <w:color w:val="000000"/>
          <w:sz w:val="32"/>
          <w:szCs w:val="32"/>
          <w:lang w:eastAsia="zh-CN"/>
        </w:rPr>
        <w:t>部</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金融市场部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风险管理部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下设</w:t>
      </w:r>
      <w:r>
        <w:rPr>
          <w:rFonts w:hint="eastAsia" w:ascii="仿宋_GB2312" w:hAnsi="仿宋_GB2312" w:eastAsia="仿宋_GB2312" w:cs="仿宋_GB2312"/>
          <w:color w:val="000000"/>
          <w:sz w:val="32"/>
          <w:szCs w:val="32"/>
        </w:rPr>
        <w:t>责任认定中心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信贷管理</w:t>
      </w:r>
      <w:r>
        <w:rPr>
          <w:rFonts w:hint="eastAsia" w:ascii="仿宋_GB2312" w:hAnsi="仿宋_GB2312" w:eastAsia="仿宋_GB2312" w:cs="仿宋_GB2312"/>
          <w:color w:val="000000"/>
          <w:sz w:val="32"/>
          <w:szCs w:val="32"/>
        </w:rPr>
        <w:t>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下设</w:t>
      </w:r>
      <w:r>
        <w:rPr>
          <w:rFonts w:hint="eastAsia" w:ascii="仿宋_GB2312" w:hAnsi="仿宋_GB2312" w:eastAsia="仿宋_GB2312" w:cs="仿宋_GB2312"/>
          <w:color w:val="000000"/>
          <w:sz w:val="32"/>
          <w:szCs w:val="32"/>
        </w:rPr>
        <w:t>资产保全中心、用信审批中心、贷后管理中心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授信评审部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下设</w:t>
      </w:r>
      <w:r>
        <w:rPr>
          <w:rFonts w:hint="eastAsia" w:ascii="仿宋_GB2312" w:hAnsi="仿宋_GB2312" w:eastAsia="仿宋_GB2312" w:cs="仿宋_GB2312"/>
          <w:color w:val="000000"/>
          <w:sz w:val="32"/>
          <w:szCs w:val="32"/>
        </w:rPr>
        <w:t>授信审批中心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运营管理部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下设</w:t>
      </w:r>
      <w:r>
        <w:rPr>
          <w:rFonts w:hint="eastAsia" w:ascii="仿宋_GB2312" w:hAnsi="仿宋_GB2312" w:eastAsia="仿宋_GB2312" w:cs="仿宋_GB2312"/>
          <w:color w:val="000000"/>
          <w:sz w:val="32"/>
          <w:szCs w:val="32"/>
        </w:rPr>
        <w:t>清算中心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现金管理中心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账户管理中心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反洗钱管理中心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远程授权中心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风险监督中心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检查辅导中心</w:t>
      </w:r>
      <w:r>
        <w:rPr>
          <w:rFonts w:hint="eastAsia" w:ascii="仿宋_GB2312" w:hAnsi="仿宋_GB2312" w:eastAsia="仿宋_GB2312" w:cs="仿宋_GB2312"/>
          <w:color w:val="000000"/>
          <w:sz w:val="32"/>
          <w:szCs w:val="32"/>
          <w:lang w:val="en-US" w:eastAsia="zh-CN"/>
        </w:rPr>
        <w:t>等7个中心），合规管理部，</w:t>
      </w:r>
      <w:r>
        <w:rPr>
          <w:rFonts w:hint="eastAsia" w:ascii="仿宋_GB2312" w:hAnsi="仿宋_GB2312" w:eastAsia="仿宋_GB2312" w:cs="仿宋_GB2312"/>
          <w:color w:val="000000"/>
          <w:sz w:val="32"/>
          <w:szCs w:val="32"/>
          <w:lang w:eastAsia="zh-CN"/>
        </w:rPr>
        <w:t>计划财务部，</w:t>
      </w:r>
      <w:r>
        <w:rPr>
          <w:rFonts w:hint="eastAsia" w:ascii="仿宋_GB2312" w:hAnsi="仿宋_GB2312" w:eastAsia="仿宋_GB2312" w:cs="仿宋_GB2312"/>
          <w:color w:val="000000"/>
          <w:sz w:val="32"/>
          <w:szCs w:val="32"/>
          <w:lang w:val="en-US" w:eastAsia="zh-CN"/>
        </w:rPr>
        <w:t>党委组织部（人力资源部），信息科技部（下设数字化转型中心、场景中心、</w:t>
      </w:r>
      <w:r>
        <w:rPr>
          <w:rFonts w:hint="eastAsia" w:ascii="仿宋_GB2312" w:hAnsi="仿宋_GB2312" w:eastAsia="仿宋_GB2312" w:cs="仿宋_GB2312"/>
          <w:color w:val="000000"/>
          <w:sz w:val="32"/>
          <w:szCs w:val="32"/>
        </w:rPr>
        <w:t>产品研发</w:t>
      </w:r>
      <w:r>
        <w:rPr>
          <w:rFonts w:hint="eastAsia" w:ascii="仿宋_GB2312" w:hAnsi="仿宋_GB2312" w:eastAsia="仿宋_GB2312" w:cs="仿宋_GB2312"/>
          <w:color w:val="000000"/>
          <w:sz w:val="32"/>
          <w:szCs w:val="32"/>
          <w:lang w:val="en-US" w:eastAsia="zh-CN"/>
        </w:rPr>
        <w:t>中心、数据分析中心、网络安全运维中心等5个中心），</w:t>
      </w:r>
      <w:r>
        <w:rPr>
          <w:rFonts w:hint="eastAsia" w:ascii="仿宋_GB2312" w:hAnsi="仿宋_GB2312" w:eastAsia="仿宋_GB2312" w:cs="仿宋_GB2312"/>
          <w:color w:val="000000"/>
          <w:sz w:val="32"/>
          <w:szCs w:val="32"/>
          <w:lang w:eastAsia="zh-CN"/>
        </w:rPr>
        <w:t>办公室，安全保卫</w:t>
      </w:r>
      <w:r>
        <w:rPr>
          <w:rFonts w:hint="eastAsia" w:ascii="仿宋_GB2312" w:hAnsi="仿宋_GB2312" w:eastAsia="仿宋_GB2312" w:cs="仿宋_GB2312"/>
          <w:color w:val="000000"/>
          <w:sz w:val="32"/>
          <w:szCs w:val="32"/>
        </w:rPr>
        <w:t>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工会办，</w:t>
      </w:r>
      <w:r>
        <w:rPr>
          <w:rFonts w:hint="eastAsia" w:ascii="仿宋_GB2312" w:hAnsi="仿宋_GB2312" w:eastAsia="仿宋_GB2312" w:cs="仿宋_GB2312"/>
          <w:color w:val="000000"/>
          <w:sz w:val="32"/>
          <w:szCs w:val="32"/>
        </w:rPr>
        <w:t>稽核审计部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董事会办公室。</w:t>
      </w:r>
      <w:r>
        <w:rPr>
          <w:rFonts w:hint="eastAsia" w:ascii="仿宋_GB2312" w:eastAsia="仿宋_GB2312"/>
          <w:color w:val="000000" w:themeColor="text1"/>
          <w:sz w:val="32"/>
          <w:szCs w:val="32"/>
          <w14:textFill>
            <w14:solidFill>
              <w14:schemeClr w14:val="tx1"/>
            </w14:solidFill>
          </w14:textFill>
        </w:rPr>
        <w:t>另设阳光小微授信调查中心、阳光个贷授信调查中心、微贷一部、微贷二部、公司部。</w:t>
      </w:r>
    </w:p>
    <w:p>
      <w:pPr>
        <w:pStyle w:val="7"/>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hAnsi="Times New Roman"/>
          <w:color w:val="000000" w:themeColor="text1"/>
          <w:sz w:val="32"/>
          <w:szCs w:val="32"/>
          <w:highlight w:val="none"/>
          <w14:textFill>
            <w14:solidFill>
              <w14:schemeClr w14:val="tx1"/>
            </w14:solidFill>
          </w14:textFill>
        </w:rPr>
      </w:pPr>
      <w:r>
        <w:rPr>
          <w:rFonts w:hint="eastAsia" w:hAnsi="Times New Roman"/>
          <w:color w:val="000000" w:themeColor="text1"/>
          <w:sz w:val="32"/>
          <w:szCs w:val="32"/>
          <w:highlight w:val="none"/>
          <w14:textFill>
            <w14:solidFill>
              <w14:schemeClr w14:val="tx1"/>
            </w14:solidFill>
          </w14:textFill>
        </w:rPr>
        <w:t>2、基层设8个事业部、管辖4</w:t>
      </w:r>
      <w:r>
        <w:rPr>
          <w:rFonts w:hint="eastAsia" w:hAnsi="Times New Roman"/>
          <w:color w:val="000000" w:themeColor="text1"/>
          <w:sz w:val="32"/>
          <w:szCs w:val="32"/>
          <w:highlight w:val="none"/>
          <w:lang w:val="en-US" w:eastAsia="zh-CN"/>
          <w14:textFill>
            <w14:solidFill>
              <w14:schemeClr w14:val="tx1"/>
            </w14:solidFill>
          </w14:textFill>
        </w:rPr>
        <w:t>6</w:t>
      </w:r>
      <w:r>
        <w:rPr>
          <w:rFonts w:hint="eastAsia" w:hAnsi="Times New Roman"/>
          <w:color w:val="000000" w:themeColor="text1"/>
          <w:sz w:val="32"/>
          <w:szCs w:val="32"/>
          <w:highlight w:val="none"/>
          <w14:textFill>
            <w14:solidFill>
              <w14:schemeClr w14:val="tx1"/>
            </w14:solidFill>
          </w14:textFill>
        </w:rPr>
        <w:t>家支行（含营业部）、2个分理处。</w:t>
      </w:r>
    </w:p>
    <w:p>
      <w:pPr>
        <w:pStyle w:val="7"/>
        <w:spacing w:line="540" w:lineRule="exact"/>
        <w:rPr>
          <w:rFonts w:hAnsi="宋体"/>
        </w:rPr>
      </w:pPr>
      <w:r>
        <w:rPr>
          <w:rFonts w:hint="eastAsia" w:hAnsi="宋体"/>
        </w:rPr>
        <w:t>我行分支机构及地址：</w:t>
      </w:r>
    </w:p>
    <w:tbl>
      <w:tblPr>
        <w:tblStyle w:val="16"/>
        <w:tblW w:w="93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5"/>
        <w:gridCol w:w="3402"/>
        <w:gridCol w:w="5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rPr>
                <w:b/>
              </w:rPr>
            </w:pPr>
            <w:r>
              <w:rPr>
                <w:rFonts w:hint="eastAsia"/>
                <w:b/>
              </w:rPr>
              <w:t>序号</w:t>
            </w:r>
          </w:p>
        </w:tc>
        <w:tc>
          <w:tcPr>
            <w:tcW w:w="3402" w:type="dxa"/>
          </w:tcPr>
          <w:p>
            <w:pPr>
              <w:jc w:val="center"/>
              <w:rPr>
                <w:b/>
              </w:rPr>
            </w:pPr>
            <w:r>
              <w:rPr>
                <w:rFonts w:hint="eastAsia"/>
                <w:b/>
              </w:rPr>
              <w:t>机构名称</w:t>
            </w:r>
          </w:p>
        </w:tc>
        <w:tc>
          <w:tcPr>
            <w:tcW w:w="5245" w:type="dxa"/>
          </w:tcPr>
          <w:p>
            <w:pPr>
              <w:jc w:val="center"/>
              <w:rPr>
                <w:b/>
              </w:rPr>
            </w:pPr>
            <w:r>
              <w:rPr>
                <w:rFonts w:hint="eastAsia"/>
                <w:b/>
              </w:rPr>
              <w:t>机构地址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w:t>
            </w:r>
          </w:p>
        </w:tc>
        <w:tc>
          <w:tcPr>
            <w:tcW w:w="3402" w:type="dxa"/>
          </w:tcPr>
          <w:p>
            <w:pPr>
              <w:jc w:val="left"/>
            </w:pPr>
            <w:r>
              <w:rPr>
                <w:rFonts w:hint="eastAsia"/>
              </w:rPr>
              <w:t>江苏沭阳农村商业银行股份有限公司沭城支行</w:t>
            </w:r>
          </w:p>
        </w:tc>
        <w:tc>
          <w:tcPr>
            <w:tcW w:w="5245" w:type="dxa"/>
          </w:tcPr>
          <w:p>
            <w:r>
              <w:rPr>
                <w:rFonts w:hint="eastAsia"/>
              </w:rPr>
              <w:t>沭阳县上海北路东侧、档案局商住楼107-1-2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w:t>
            </w:r>
          </w:p>
        </w:tc>
        <w:tc>
          <w:tcPr>
            <w:tcW w:w="3402" w:type="dxa"/>
          </w:tcPr>
          <w:p>
            <w:pPr>
              <w:jc w:val="left"/>
            </w:pPr>
            <w:r>
              <w:rPr>
                <w:rFonts w:hint="eastAsia"/>
              </w:rPr>
              <w:t>江苏沭阳农村商业银行股份有限公司上海路支行</w:t>
            </w:r>
          </w:p>
        </w:tc>
        <w:tc>
          <w:tcPr>
            <w:tcW w:w="5245" w:type="dxa"/>
          </w:tcPr>
          <w:p>
            <w:r>
              <w:rPr>
                <w:rFonts w:hint="eastAsia"/>
              </w:rPr>
              <w:t>沭阳县沭城镇上海南路与临安西路交汇处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w:t>
            </w:r>
          </w:p>
        </w:tc>
        <w:tc>
          <w:tcPr>
            <w:tcW w:w="3402" w:type="dxa"/>
          </w:tcPr>
          <w:p>
            <w:pPr>
              <w:jc w:val="left"/>
            </w:pPr>
            <w:r>
              <w:rPr>
                <w:rFonts w:hint="eastAsia"/>
              </w:rPr>
              <w:t>江苏沭阳农村商业银行股份有限公司沭新支行</w:t>
            </w:r>
          </w:p>
        </w:tc>
        <w:tc>
          <w:tcPr>
            <w:tcW w:w="5245" w:type="dxa"/>
          </w:tcPr>
          <w:p>
            <w:r>
              <w:rPr>
                <w:rFonts w:hint="eastAsia"/>
              </w:rPr>
              <w:t>沭阳县沭城镇三匹马商业广场第5#A、B幢5B-101、201号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w:t>
            </w:r>
          </w:p>
        </w:tc>
        <w:tc>
          <w:tcPr>
            <w:tcW w:w="3402" w:type="dxa"/>
          </w:tcPr>
          <w:p>
            <w:pPr>
              <w:jc w:val="left"/>
            </w:pPr>
            <w:r>
              <w:rPr>
                <w:rFonts w:hint="eastAsia"/>
              </w:rPr>
              <w:t>江苏沭阳农村商业银行股份有限公司建陵支行</w:t>
            </w:r>
          </w:p>
        </w:tc>
        <w:tc>
          <w:tcPr>
            <w:tcW w:w="5245" w:type="dxa"/>
          </w:tcPr>
          <w:p>
            <w:r>
              <w:rPr>
                <w:rFonts w:hint="eastAsia"/>
              </w:rPr>
              <w:t>沭阳县沭城镇南京西路与北京北路交汇处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5</w:t>
            </w:r>
          </w:p>
        </w:tc>
        <w:tc>
          <w:tcPr>
            <w:tcW w:w="3402" w:type="dxa"/>
          </w:tcPr>
          <w:p>
            <w:pPr>
              <w:jc w:val="left"/>
            </w:pPr>
            <w:r>
              <w:rPr>
                <w:rFonts w:hint="eastAsia"/>
              </w:rPr>
              <w:t>江苏沭阳农村商业银行股份有限公司天津路支行</w:t>
            </w:r>
          </w:p>
        </w:tc>
        <w:tc>
          <w:tcPr>
            <w:tcW w:w="5245" w:type="dxa"/>
          </w:tcPr>
          <w:p>
            <w:r>
              <w:rPr>
                <w:rFonts w:hint="eastAsia"/>
              </w:rPr>
              <w:t>沭阳县沭城镇建陵商都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6</w:t>
            </w:r>
          </w:p>
        </w:tc>
        <w:tc>
          <w:tcPr>
            <w:tcW w:w="3402" w:type="dxa"/>
          </w:tcPr>
          <w:p>
            <w:pPr>
              <w:jc w:val="left"/>
            </w:pPr>
            <w:r>
              <w:rPr>
                <w:rFonts w:hint="eastAsia"/>
              </w:rPr>
              <w:t>江苏沭阳农村商业银行股份有限公司新区支行</w:t>
            </w:r>
          </w:p>
        </w:tc>
        <w:tc>
          <w:tcPr>
            <w:tcW w:w="5245" w:type="dxa"/>
          </w:tcPr>
          <w:p>
            <w:r>
              <w:rPr>
                <w:rFonts w:hint="eastAsia"/>
              </w:rPr>
              <w:t>沭阳县浙江商城A1幢一层1.2.3.4号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7</w:t>
            </w:r>
          </w:p>
        </w:tc>
        <w:tc>
          <w:tcPr>
            <w:tcW w:w="3402" w:type="dxa"/>
          </w:tcPr>
          <w:p>
            <w:pPr>
              <w:jc w:val="left"/>
            </w:pPr>
            <w:r>
              <w:rPr>
                <w:rFonts w:hint="eastAsia"/>
              </w:rPr>
              <w:t>江苏沭阳农村商业银行股份有限公司常州路支行</w:t>
            </w:r>
          </w:p>
        </w:tc>
        <w:tc>
          <w:tcPr>
            <w:tcW w:w="5245" w:type="dxa"/>
          </w:tcPr>
          <w:p>
            <w:r>
              <w:rPr>
                <w:rFonts w:hint="eastAsia"/>
              </w:rPr>
              <w:t>沭阳县沭城镇帝景天成小区东门北侧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8</w:t>
            </w:r>
          </w:p>
        </w:tc>
        <w:tc>
          <w:tcPr>
            <w:tcW w:w="3402" w:type="dxa"/>
          </w:tcPr>
          <w:p>
            <w:pPr>
              <w:jc w:val="left"/>
            </w:pPr>
            <w:r>
              <w:rPr>
                <w:rFonts w:hint="eastAsia"/>
              </w:rPr>
              <w:t>江苏沭阳农村商业银行股份有限公司耿圩支行</w:t>
            </w:r>
          </w:p>
        </w:tc>
        <w:tc>
          <w:tcPr>
            <w:tcW w:w="5245" w:type="dxa"/>
          </w:tcPr>
          <w:p>
            <w:r>
              <w:rPr>
                <w:rFonts w:hint="eastAsia"/>
              </w:rPr>
              <w:t>沭阳县耿圩镇耿圩居委会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9</w:t>
            </w:r>
          </w:p>
        </w:tc>
        <w:tc>
          <w:tcPr>
            <w:tcW w:w="3402" w:type="dxa"/>
          </w:tcPr>
          <w:p>
            <w:pPr>
              <w:jc w:val="left"/>
            </w:pPr>
            <w:r>
              <w:rPr>
                <w:rFonts w:hint="eastAsia"/>
              </w:rPr>
              <w:t>江苏沭阳农村商业银行股份有限公司悦来支行</w:t>
            </w:r>
          </w:p>
        </w:tc>
        <w:tc>
          <w:tcPr>
            <w:tcW w:w="5245" w:type="dxa"/>
          </w:tcPr>
          <w:p>
            <w:r>
              <w:rPr>
                <w:rFonts w:hint="eastAsia"/>
              </w:rPr>
              <w:t>沭阳县悦来镇悦来居委会（324省道南侧）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10</w:t>
            </w:r>
          </w:p>
        </w:tc>
        <w:tc>
          <w:tcPr>
            <w:tcW w:w="3402" w:type="dxa"/>
          </w:tcPr>
          <w:p>
            <w:pPr>
              <w:jc w:val="left"/>
            </w:pPr>
            <w:r>
              <w:rPr>
                <w:rFonts w:hint="eastAsia"/>
              </w:rPr>
              <w:t>江苏沭阳农村商业银行股份有限公司陇集支行</w:t>
            </w:r>
          </w:p>
        </w:tc>
        <w:tc>
          <w:tcPr>
            <w:tcW w:w="5245" w:type="dxa"/>
          </w:tcPr>
          <w:p>
            <w:r>
              <w:rPr>
                <w:rFonts w:hint="eastAsia"/>
              </w:rPr>
              <w:t>沭阳县陇集镇东大街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11</w:t>
            </w:r>
          </w:p>
        </w:tc>
        <w:tc>
          <w:tcPr>
            <w:tcW w:w="3402" w:type="dxa"/>
          </w:tcPr>
          <w:p>
            <w:pPr>
              <w:jc w:val="left"/>
            </w:pPr>
            <w:r>
              <w:rPr>
                <w:rFonts w:hint="eastAsia"/>
              </w:rPr>
              <w:t>江苏沭阳农村商业银行股份有限公司刘集支行</w:t>
            </w:r>
          </w:p>
        </w:tc>
        <w:tc>
          <w:tcPr>
            <w:tcW w:w="5245" w:type="dxa"/>
          </w:tcPr>
          <w:p>
            <w:r>
              <w:rPr>
                <w:rFonts w:hint="eastAsia"/>
              </w:rPr>
              <w:t>沭阳县刘集镇刘集居委会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12</w:t>
            </w:r>
          </w:p>
        </w:tc>
        <w:tc>
          <w:tcPr>
            <w:tcW w:w="3402" w:type="dxa"/>
          </w:tcPr>
          <w:p>
            <w:pPr>
              <w:jc w:val="left"/>
            </w:pPr>
            <w:r>
              <w:rPr>
                <w:rFonts w:hint="eastAsia"/>
              </w:rPr>
              <w:t>江苏沭阳农村商业银行股份有限公司北丁集支行</w:t>
            </w:r>
          </w:p>
        </w:tc>
        <w:tc>
          <w:tcPr>
            <w:tcW w:w="5245" w:type="dxa"/>
          </w:tcPr>
          <w:p>
            <w:r>
              <w:rPr>
                <w:rFonts w:hint="eastAsia"/>
              </w:rPr>
              <w:t>沭阳县北丁集乡绿雅大道西侧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13</w:t>
            </w:r>
          </w:p>
        </w:tc>
        <w:tc>
          <w:tcPr>
            <w:tcW w:w="3402" w:type="dxa"/>
          </w:tcPr>
          <w:p>
            <w:pPr>
              <w:jc w:val="left"/>
            </w:pPr>
            <w:r>
              <w:rPr>
                <w:rFonts w:hint="eastAsia"/>
              </w:rPr>
              <w:t>江苏沭阳农村商业银行股份有限公司十字支行</w:t>
            </w:r>
          </w:p>
        </w:tc>
        <w:tc>
          <w:tcPr>
            <w:tcW w:w="5245" w:type="dxa"/>
          </w:tcPr>
          <w:p>
            <w:r>
              <w:rPr>
                <w:rFonts w:hint="eastAsia"/>
              </w:rPr>
              <w:t>沭阳县十字社区十字居委会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14</w:t>
            </w:r>
          </w:p>
        </w:tc>
        <w:tc>
          <w:tcPr>
            <w:tcW w:w="3402" w:type="dxa"/>
          </w:tcPr>
          <w:p>
            <w:pPr>
              <w:jc w:val="left"/>
            </w:pPr>
            <w:r>
              <w:rPr>
                <w:rFonts w:hint="eastAsia"/>
              </w:rPr>
              <w:t>江苏沭阳农村商业银行股份有限公司胡集支行</w:t>
            </w:r>
          </w:p>
        </w:tc>
        <w:tc>
          <w:tcPr>
            <w:tcW w:w="5245" w:type="dxa"/>
          </w:tcPr>
          <w:p>
            <w:r>
              <w:rPr>
                <w:rFonts w:hint="eastAsia"/>
              </w:rPr>
              <w:t>沭阳县胡集镇胡集居委会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15</w:t>
            </w:r>
          </w:p>
        </w:tc>
        <w:tc>
          <w:tcPr>
            <w:tcW w:w="3402" w:type="dxa"/>
          </w:tcPr>
          <w:p>
            <w:pPr>
              <w:jc w:val="left"/>
            </w:pPr>
            <w:r>
              <w:rPr>
                <w:rFonts w:hint="eastAsia"/>
              </w:rPr>
              <w:t>江苏沭阳农村商业银行股份有限公司钱集支行</w:t>
            </w:r>
          </w:p>
        </w:tc>
        <w:tc>
          <w:tcPr>
            <w:tcW w:w="5245" w:type="dxa"/>
          </w:tcPr>
          <w:p>
            <w:r>
              <w:rPr>
                <w:rFonts w:hint="eastAsia"/>
              </w:rPr>
              <w:t>沭阳县钱集镇钱集居委会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16</w:t>
            </w:r>
          </w:p>
        </w:tc>
        <w:tc>
          <w:tcPr>
            <w:tcW w:w="3402" w:type="dxa"/>
          </w:tcPr>
          <w:p>
            <w:pPr>
              <w:jc w:val="left"/>
            </w:pPr>
            <w:r>
              <w:rPr>
                <w:rFonts w:hint="eastAsia"/>
              </w:rPr>
              <w:t>江苏沭阳农村商业银行股份有限公司周集支行</w:t>
            </w:r>
          </w:p>
        </w:tc>
        <w:tc>
          <w:tcPr>
            <w:tcW w:w="5245" w:type="dxa"/>
          </w:tcPr>
          <w:p>
            <w:r>
              <w:rPr>
                <w:rFonts w:hint="eastAsia"/>
              </w:rPr>
              <w:t>沭阳县周集乡周集居委会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17</w:t>
            </w:r>
          </w:p>
        </w:tc>
        <w:tc>
          <w:tcPr>
            <w:tcW w:w="3402" w:type="dxa"/>
          </w:tcPr>
          <w:p>
            <w:pPr>
              <w:jc w:val="left"/>
            </w:pPr>
            <w:r>
              <w:rPr>
                <w:rFonts w:hint="eastAsia"/>
              </w:rPr>
              <w:t>江苏沭阳农村商业银行股份有限公司张圩支行</w:t>
            </w:r>
          </w:p>
        </w:tc>
        <w:tc>
          <w:tcPr>
            <w:tcW w:w="5245" w:type="dxa"/>
          </w:tcPr>
          <w:p>
            <w:r>
              <w:rPr>
                <w:rFonts w:hint="eastAsia"/>
              </w:rPr>
              <w:t>沭阳县张圩乡张圩居委会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18</w:t>
            </w:r>
          </w:p>
        </w:tc>
        <w:tc>
          <w:tcPr>
            <w:tcW w:w="3402" w:type="dxa"/>
          </w:tcPr>
          <w:p>
            <w:pPr>
              <w:jc w:val="left"/>
            </w:pPr>
            <w:r>
              <w:rPr>
                <w:rFonts w:hint="eastAsia"/>
              </w:rPr>
              <w:t>江苏沭阳农村商业银行股份有限公司塘沟支行</w:t>
            </w:r>
          </w:p>
        </w:tc>
        <w:tc>
          <w:tcPr>
            <w:tcW w:w="5245" w:type="dxa"/>
          </w:tcPr>
          <w:p>
            <w:r>
              <w:rPr>
                <w:rFonts w:hint="eastAsia"/>
              </w:rPr>
              <w:t>沭阳县塘沟镇北街东侧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19</w:t>
            </w:r>
          </w:p>
        </w:tc>
        <w:tc>
          <w:tcPr>
            <w:tcW w:w="3402" w:type="dxa"/>
          </w:tcPr>
          <w:p>
            <w:pPr>
              <w:jc w:val="left"/>
            </w:pPr>
            <w:r>
              <w:rPr>
                <w:rFonts w:hint="eastAsia"/>
              </w:rPr>
              <w:t>江苏沭阳农村商业银行股份有限公司东小店支行</w:t>
            </w:r>
          </w:p>
        </w:tc>
        <w:tc>
          <w:tcPr>
            <w:tcW w:w="5245" w:type="dxa"/>
          </w:tcPr>
          <w:p>
            <w:r>
              <w:rPr>
                <w:rFonts w:hint="eastAsia"/>
              </w:rPr>
              <w:t>沭阳县东小店乡店南居委会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20</w:t>
            </w:r>
          </w:p>
        </w:tc>
        <w:tc>
          <w:tcPr>
            <w:tcW w:w="3402" w:type="dxa"/>
          </w:tcPr>
          <w:p>
            <w:pPr>
              <w:jc w:val="left"/>
            </w:pPr>
            <w:r>
              <w:rPr>
                <w:rFonts w:hint="eastAsia"/>
              </w:rPr>
              <w:t>江苏沭阳农村商业银行股份有限公司七雄支行</w:t>
            </w:r>
          </w:p>
        </w:tc>
        <w:tc>
          <w:tcPr>
            <w:tcW w:w="5245" w:type="dxa"/>
          </w:tcPr>
          <w:p>
            <w:r>
              <w:rPr>
                <w:rFonts w:hint="eastAsia"/>
              </w:rPr>
              <w:t>沭阳县七雄社区七雄居委会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21</w:t>
            </w:r>
          </w:p>
        </w:tc>
        <w:tc>
          <w:tcPr>
            <w:tcW w:w="3402" w:type="dxa"/>
          </w:tcPr>
          <w:p>
            <w:pPr>
              <w:jc w:val="left"/>
            </w:pPr>
            <w:r>
              <w:rPr>
                <w:rFonts w:hint="eastAsia"/>
              </w:rPr>
              <w:t>江苏沭阳农村商业银行股份有限公司李恒支行</w:t>
            </w:r>
          </w:p>
        </w:tc>
        <w:tc>
          <w:tcPr>
            <w:tcW w:w="5245" w:type="dxa"/>
          </w:tcPr>
          <w:p>
            <w:r>
              <w:rPr>
                <w:rFonts w:hint="eastAsia"/>
              </w:rPr>
              <w:t>沭阳县李恒镇李恒街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22</w:t>
            </w:r>
          </w:p>
        </w:tc>
        <w:tc>
          <w:tcPr>
            <w:tcW w:w="3402" w:type="dxa"/>
          </w:tcPr>
          <w:p>
            <w:pPr>
              <w:jc w:val="left"/>
            </w:pPr>
            <w:r>
              <w:rPr>
                <w:rFonts w:hint="eastAsia"/>
              </w:rPr>
              <w:t>江苏沭阳农村商业银行股份有限公司汤涧支行</w:t>
            </w:r>
          </w:p>
        </w:tc>
        <w:tc>
          <w:tcPr>
            <w:tcW w:w="5245" w:type="dxa"/>
          </w:tcPr>
          <w:p>
            <w:r>
              <w:rPr>
                <w:rFonts w:hint="eastAsia"/>
              </w:rPr>
              <w:t>沭阳县汤涧镇新街北侧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23</w:t>
            </w:r>
          </w:p>
        </w:tc>
        <w:tc>
          <w:tcPr>
            <w:tcW w:w="3402" w:type="dxa"/>
          </w:tcPr>
          <w:p>
            <w:pPr>
              <w:jc w:val="left"/>
            </w:pPr>
            <w:r>
              <w:rPr>
                <w:rFonts w:hint="eastAsia"/>
              </w:rPr>
              <w:t>江苏沭阳农村商业银行股份有限公司马厂支行</w:t>
            </w:r>
          </w:p>
        </w:tc>
        <w:tc>
          <w:tcPr>
            <w:tcW w:w="5245" w:type="dxa"/>
          </w:tcPr>
          <w:p>
            <w:r>
              <w:rPr>
                <w:rFonts w:hint="eastAsia"/>
              </w:rPr>
              <w:t>沭阳县马厂镇商业街东侧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24</w:t>
            </w:r>
          </w:p>
        </w:tc>
        <w:tc>
          <w:tcPr>
            <w:tcW w:w="3402" w:type="dxa"/>
          </w:tcPr>
          <w:p>
            <w:pPr>
              <w:jc w:val="left"/>
            </w:pPr>
            <w:r>
              <w:rPr>
                <w:rFonts w:hint="eastAsia"/>
              </w:rPr>
              <w:t>江苏沭阳农村商业银行股份有限公司沂涛支行</w:t>
            </w:r>
          </w:p>
        </w:tc>
        <w:tc>
          <w:tcPr>
            <w:tcW w:w="5245" w:type="dxa"/>
          </w:tcPr>
          <w:p>
            <w:r>
              <w:rPr>
                <w:rFonts w:hint="eastAsia"/>
              </w:rPr>
              <w:t>沭阳县沂涛镇学仕路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25</w:t>
            </w:r>
          </w:p>
        </w:tc>
        <w:tc>
          <w:tcPr>
            <w:tcW w:w="3402" w:type="dxa"/>
          </w:tcPr>
          <w:p>
            <w:pPr>
              <w:jc w:val="left"/>
            </w:pPr>
            <w:r>
              <w:rPr>
                <w:rFonts w:hint="eastAsia"/>
              </w:rPr>
              <w:t>江苏沭阳农村商业银行股份有限公司章集支行</w:t>
            </w:r>
          </w:p>
        </w:tc>
        <w:tc>
          <w:tcPr>
            <w:tcW w:w="5245" w:type="dxa"/>
          </w:tcPr>
          <w:p>
            <w:r>
              <w:rPr>
                <w:rFonts w:hint="eastAsia"/>
              </w:rPr>
              <w:t>沭阳县章集社区新桥街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26</w:t>
            </w:r>
          </w:p>
        </w:tc>
        <w:tc>
          <w:tcPr>
            <w:tcW w:w="3402" w:type="dxa"/>
          </w:tcPr>
          <w:p>
            <w:pPr>
              <w:jc w:val="left"/>
            </w:pPr>
            <w:r>
              <w:rPr>
                <w:rFonts w:hint="eastAsia"/>
              </w:rPr>
              <w:t>江苏沭阳农村商业银行股份有限公司扎下支行</w:t>
            </w:r>
          </w:p>
        </w:tc>
        <w:tc>
          <w:tcPr>
            <w:tcW w:w="5245" w:type="dxa"/>
          </w:tcPr>
          <w:p>
            <w:r>
              <w:rPr>
                <w:rFonts w:hint="eastAsia"/>
              </w:rPr>
              <w:t>沭阳县扎下镇原镇政府西侧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27</w:t>
            </w:r>
          </w:p>
        </w:tc>
        <w:tc>
          <w:tcPr>
            <w:tcW w:w="3402" w:type="dxa"/>
          </w:tcPr>
          <w:p>
            <w:pPr>
              <w:jc w:val="left"/>
            </w:pPr>
            <w:r>
              <w:rPr>
                <w:rFonts w:hint="eastAsia"/>
              </w:rPr>
              <w:t>江苏沭阳农村商业银行股份有限公司颜集支行</w:t>
            </w:r>
          </w:p>
        </w:tc>
        <w:tc>
          <w:tcPr>
            <w:tcW w:w="5245" w:type="dxa"/>
          </w:tcPr>
          <w:p>
            <w:r>
              <w:rPr>
                <w:rFonts w:hint="eastAsia"/>
              </w:rPr>
              <w:t>沭阳县颜集镇虞姬路南侧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28</w:t>
            </w:r>
          </w:p>
        </w:tc>
        <w:tc>
          <w:tcPr>
            <w:tcW w:w="3402" w:type="dxa"/>
          </w:tcPr>
          <w:p>
            <w:pPr>
              <w:jc w:val="left"/>
            </w:pPr>
            <w:r>
              <w:rPr>
                <w:rFonts w:hint="eastAsia"/>
              </w:rPr>
              <w:t>江苏沭阳农村商业银行股份有限公司潼阳支行</w:t>
            </w:r>
          </w:p>
        </w:tc>
        <w:tc>
          <w:tcPr>
            <w:tcW w:w="5245" w:type="dxa"/>
          </w:tcPr>
          <w:p>
            <w:r>
              <w:rPr>
                <w:rFonts w:hint="eastAsia"/>
              </w:rPr>
              <w:t>沭阳县潼阳镇政府北侧、205国道南侧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29</w:t>
            </w:r>
          </w:p>
        </w:tc>
        <w:tc>
          <w:tcPr>
            <w:tcW w:w="3402" w:type="dxa"/>
          </w:tcPr>
          <w:p>
            <w:pPr>
              <w:jc w:val="left"/>
            </w:pPr>
            <w:r>
              <w:rPr>
                <w:rFonts w:hint="eastAsia"/>
              </w:rPr>
              <w:t>江苏沭阳农村商业银行股份有限公司茆圩支行</w:t>
            </w:r>
          </w:p>
        </w:tc>
        <w:tc>
          <w:tcPr>
            <w:tcW w:w="5245" w:type="dxa"/>
          </w:tcPr>
          <w:p>
            <w:r>
              <w:rPr>
                <w:rFonts w:hint="eastAsia"/>
              </w:rPr>
              <w:t>沭阳县茆圩乡青坊街西侧，粮所东侧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30</w:t>
            </w:r>
          </w:p>
        </w:tc>
        <w:tc>
          <w:tcPr>
            <w:tcW w:w="3402" w:type="dxa"/>
          </w:tcPr>
          <w:p>
            <w:pPr>
              <w:jc w:val="left"/>
            </w:pPr>
            <w:r>
              <w:rPr>
                <w:rFonts w:hint="eastAsia"/>
              </w:rPr>
              <w:t>江苏沭阳农村商业银行股份有限公司新河支行</w:t>
            </w:r>
          </w:p>
        </w:tc>
        <w:tc>
          <w:tcPr>
            <w:tcW w:w="5245" w:type="dxa"/>
          </w:tcPr>
          <w:p>
            <w:r>
              <w:rPr>
                <w:rFonts w:hint="eastAsia"/>
              </w:rPr>
              <w:t>沭阳县新河镇中心街南侧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31</w:t>
            </w:r>
          </w:p>
        </w:tc>
        <w:tc>
          <w:tcPr>
            <w:tcW w:w="3402" w:type="dxa"/>
          </w:tcPr>
          <w:p>
            <w:pPr>
              <w:jc w:val="left"/>
            </w:pPr>
            <w:r>
              <w:rPr>
                <w:rFonts w:hint="eastAsia"/>
              </w:rPr>
              <w:t>江苏沭阳农村商业银行股份有限公司庙头支行</w:t>
            </w:r>
          </w:p>
        </w:tc>
        <w:tc>
          <w:tcPr>
            <w:tcW w:w="5245" w:type="dxa"/>
          </w:tcPr>
          <w:p>
            <w:r>
              <w:rPr>
                <w:rFonts w:hint="eastAsia"/>
              </w:rPr>
              <w:t>沭阳县庙头镇敖根路西侧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32</w:t>
            </w:r>
          </w:p>
        </w:tc>
        <w:tc>
          <w:tcPr>
            <w:tcW w:w="3402" w:type="dxa"/>
          </w:tcPr>
          <w:p>
            <w:pPr>
              <w:jc w:val="left"/>
            </w:pPr>
            <w:r>
              <w:rPr>
                <w:rFonts w:hint="eastAsia"/>
              </w:rPr>
              <w:t>江苏沭阳农村商业银行股份有限公司贤官支行</w:t>
            </w:r>
          </w:p>
        </w:tc>
        <w:tc>
          <w:tcPr>
            <w:tcW w:w="5245" w:type="dxa"/>
          </w:tcPr>
          <w:p>
            <w:r>
              <w:rPr>
                <w:rFonts w:hint="eastAsia"/>
              </w:rPr>
              <w:t>沭阳县贤官镇秦安商业广场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33</w:t>
            </w:r>
          </w:p>
        </w:tc>
        <w:tc>
          <w:tcPr>
            <w:tcW w:w="3402" w:type="dxa"/>
          </w:tcPr>
          <w:p>
            <w:pPr>
              <w:jc w:val="left"/>
            </w:pPr>
            <w:r>
              <w:rPr>
                <w:rFonts w:hint="eastAsia"/>
              </w:rPr>
              <w:t>江苏沭阳农村商业银行股份有限公司高墟支行</w:t>
            </w:r>
          </w:p>
        </w:tc>
        <w:tc>
          <w:tcPr>
            <w:tcW w:w="5245" w:type="dxa"/>
          </w:tcPr>
          <w:p>
            <w:r>
              <w:rPr>
                <w:rFonts w:hint="eastAsia"/>
              </w:rPr>
              <w:t>沭阳县高墟镇高墟路南侧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34</w:t>
            </w:r>
          </w:p>
        </w:tc>
        <w:tc>
          <w:tcPr>
            <w:tcW w:w="3402" w:type="dxa"/>
          </w:tcPr>
          <w:p>
            <w:pPr>
              <w:jc w:val="left"/>
            </w:pPr>
            <w:r>
              <w:rPr>
                <w:rFonts w:hint="eastAsia"/>
              </w:rPr>
              <w:t>江苏沭阳农村商业银行股份有限公司湖东支行</w:t>
            </w:r>
          </w:p>
        </w:tc>
        <w:tc>
          <w:tcPr>
            <w:tcW w:w="5245" w:type="dxa"/>
          </w:tcPr>
          <w:p>
            <w:r>
              <w:rPr>
                <w:rFonts w:hint="eastAsia"/>
              </w:rPr>
              <w:t>沭阳县湖东镇桑高路西侧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35</w:t>
            </w:r>
          </w:p>
        </w:tc>
        <w:tc>
          <w:tcPr>
            <w:tcW w:w="3402" w:type="dxa"/>
          </w:tcPr>
          <w:p>
            <w:pPr>
              <w:jc w:val="left"/>
            </w:pPr>
            <w:r>
              <w:rPr>
                <w:rFonts w:hint="eastAsia"/>
              </w:rPr>
              <w:t>江苏沭阳农村商业银行股份有限公司西圩支行</w:t>
            </w:r>
          </w:p>
        </w:tc>
        <w:tc>
          <w:tcPr>
            <w:tcW w:w="5245" w:type="dxa"/>
          </w:tcPr>
          <w:p>
            <w:r>
              <w:rPr>
                <w:rFonts w:hint="eastAsia"/>
              </w:rPr>
              <w:t>沭阳县西圩乡沭灌路北侧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36</w:t>
            </w:r>
          </w:p>
        </w:tc>
        <w:tc>
          <w:tcPr>
            <w:tcW w:w="3402" w:type="dxa"/>
          </w:tcPr>
          <w:p>
            <w:pPr>
              <w:jc w:val="left"/>
            </w:pPr>
            <w:r>
              <w:rPr>
                <w:rFonts w:hint="eastAsia"/>
              </w:rPr>
              <w:t>江苏沭阳农村商业银行股份有限公司吴集支行</w:t>
            </w:r>
          </w:p>
        </w:tc>
        <w:tc>
          <w:tcPr>
            <w:tcW w:w="5245" w:type="dxa"/>
          </w:tcPr>
          <w:p>
            <w:r>
              <w:rPr>
                <w:rFonts w:hint="eastAsia"/>
              </w:rPr>
              <w:t>沭阳县吴集镇文化街75号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37</w:t>
            </w:r>
          </w:p>
        </w:tc>
        <w:tc>
          <w:tcPr>
            <w:tcW w:w="3402" w:type="dxa"/>
          </w:tcPr>
          <w:p>
            <w:pPr>
              <w:jc w:val="left"/>
            </w:pPr>
            <w:r>
              <w:rPr>
                <w:rFonts w:hint="eastAsia"/>
              </w:rPr>
              <w:t>江苏沭阳农村商业银行股份有限公司韩山支行</w:t>
            </w:r>
          </w:p>
        </w:tc>
        <w:tc>
          <w:tcPr>
            <w:tcW w:w="5245" w:type="dxa"/>
          </w:tcPr>
          <w:p>
            <w:r>
              <w:rPr>
                <w:rFonts w:hint="eastAsia"/>
              </w:rPr>
              <w:t>沭阳县韩山镇人民路西侧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38</w:t>
            </w:r>
          </w:p>
        </w:tc>
        <w:tc>
          <w:tcPr>
            <w:tcW w:w="3402" w:type="dxa"/>
          </w:tcPr>
          <w:p>
            <w:pPr>
              <w:jc w:val="left"/>
            </w:pPr>
            <w:r>
              <w:rPr>
                <w:rFonts w:hint="eastAsia"/>
              </w:rPr>
              <w:t>江苏沭阳农村商业银行股份有限公司官墩支行</w:t>
            </w:r>
          </w:p>
        </w:tc>
        <w:tc>
          <w:tcPr>
            <w:tcW w:w="5245" w:type="dxa"/>
          </w:tcPr>
          <w:p>
            <w:r>
              <w:rPr>
                <w:rFonts w:hint="eastAsia"/>
              </w:rPr>
              <w:t>沭阳县官墩乡派出所东侧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39</w:t>
            </w:r>
          </w:p>
        </w:tc>
        <w:tc>
          <w:tcPr>
            <w:tcW w:w="3402" w:type="dxa"/>
          </w:tcPr>
          <w:p>
            <w:pPr>
              <w:jc w:val="left"/>
            </w:pPr>
            <w:r>
              <w:rPr>
                <w:rFonts w:hint="eastAsia"/>
              </w:rPr>
              <w:t>江苏沭阳农村商业银行股份有限公司龙庙支行</w:t>
            </w:r>
          </w:p>
        </w:tc>
        <w:tc>
          <w:tcPr>
            <w:tcW w:w="5245" w:type="dxa"/>
          </w:tcPr>
          <w:p>
            <w:r>
              <w:rPr>
                <w:rFonts w:hint="eastAsia"/>
              </w:rPr>
              <w:t>沭阳县龙庙镇商业街南侧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40</w:t>
            </w:r>
          </w:p>
        </w:tc>
        <w:tc>
          <w:tcPr>
            <w:tcW w:w="3402" w:type="dxa"/>
          </w:tcPr>
          <w:p>
            <w:pPr>
              <w:jc w:val="left"/>
            </w:pPr>
            <w:r>
              <w:rPr>
                <w:rFonts w:hint="eastAsia"/>
              </w:rPr>
              <w:t>江苏沭阳农村商业银行股份有限公司华冲支行</w:t>
            </w:r>
          </w:p>
        </w:tc>
        <w:tc>
          <w:tcPr>
            <w:tcW w:w="5245" w:type="dxa"/>
          </w:tcPr>
          <w:p>
            <w:r>
              <w:rPr>
                <w:rFonts w:hint="eastAsia"/>
              </w:rPr>
              <w:t>沭阳县华冲镇龙青路16号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41</w:t>
            </w:r>
          </w:p>
        </w:tc>
        <w:tc>
          <w:tcPr>
            <w:tcW w:w="3402" w:type="dxa"/>
          </w:tcPr>
          <w:p>
            <w:pPr>
              <w:jc w:val="left"/>
            </w:pPr>
            <w:r>
              <w:rPr>
                <w:rFonts w:hint="eastAsia"/>
              </w:rPr>
              <w:t>江苏沭阳农村商业银行股份有限公司万匹支行</w:t>
            </w:r>
          </w:p>
        </w:tc>
        <w:tc>
          <w:tcPr>
            <w:tcW w:w="5245" w:type="dxa"/>
          </w:tcPr>
          <w:p>
            <w:r>
              <w:rPr>
                <w:rFonts w:hint="eastAsia"/>
              </w:rPr>
              <w:t>沭阳县万匹镇中心街南侧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42</w:t>
            </w:r>
          </w:p>
        </w:tc>
        <w:tc>
          <w:tcPr>
            <w:tcW w:w="3402" w:type="dxa"/>
          </w:tcPr>
          <w:p>
            <w:pPr>
              <w:jc w:val="left"/>
            </w:pPr>
            <w:r>
              <w:rPr>
                <w:rFonts w:hint="eastAsia"/>
              </w:rPr>
              <w:t>江苏沭阳农村商业银行股份有限公司桑墟支行</w:t>
            </w:r>
          </w:p>
        </w:tc>
        <w:tc>
          <w:tcPr>
            <w:tcW w:w="5245" w:type="dxa"/>
          </w:tcPr>
          <w:p>
            <w:r>
              <w:rPr>
                <w:rFonts w:hint="eastAsia"/>
              </w:rPr>
              <w:t>沭阳县桑墟镇中心街南侧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43</w:t>
            </w:r>
          </w:p>
        </w:tc>
        <w:tc>
          <w:tcPr>
            <w:tcW w:w="3402" w:type="dxa"/>
          </w:tcPr>
          <w:p>
            <w:pPr>
              <w:jc w:val="left"/>
            </w:pPr>
            <w:r>
              <w:rPr>
                <w:rFonts w:hint="eastAsia"/>
              </w:rPr>
              <w:t>江苏沭阳农村商业银行股份有限公司青伊湖支行</w:t>
            </w:r>
          </w:p>
        </w:tc>
        <w:tc>
          <w:tcPr>
            <w:tcW w:w="5245" w:type="dxa"/>
          </w:tcPr>
          <w:p>
            <w:r>
              <w:rPr>
                <w:rFonts w:hint="eastAsia"/>
              </w:rPr>
              <w:t>沭阳县青伊湖镇邮政局西侧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44</w:t>
            </w:r>
          </w:p>
        </w:tc>
        <w:tc>
          <w:tcPr>
            <w:tcW w:w="3402" w:type="dxa"/>
          </w:tcPr>
          <w:p>
            <w:pPr>
              <w:jc w:val="left"/>
            </w:pPr>
            <w:r>
              <w:rPr>
                <w:rFonts w:hint="eastAsia"/>
              </w:rPr>
              <w:t>江苏沭阳农村商业银行股份有限公司开发区支行</w:t>
            </w:r>
          </w:p>
        </w:tc>
        <w:tc>
          <w:tcPr>
            <w:tcW w:w="5245" w:type="dxa"/>
          </w:tcPr>
          <w:p>
            <w:r>
              <w:rPr>
                <w:rFonts w:hint="eastAsia"/>
              </w:rPr>
              <w:t>沭阳县万业金街C1-C14号商铺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45</w:t>
            </w:r>
          </w:p>
        </w:tc>
        <w:tc>
          <w:tcPr>
            <w:tcW w:w="3402" w:type="dxa"/>
          </w:tcPr>
          <w:p>
            <w:pPr>
              <w:jc w:val="left"/>
            </w:pPr>
            <w:r>
              <w:rPr>
                <w:rFonts w:hint="eastAsia"/>
              </w:rPr>
              <w:t>江苏沭阳农村商业银行股份有限公司营业部</w:t>
            </w:r>
          </w:p>
        </w:tc>
        <w:tc>
          <w:tcPr>
            <w:tcW w:w="5245" w:type="dxa"/>
          </w:tcPr>
          <w:p>
            <w:r>
              <w:rPr>
                <w:rFonts w:hint="eastAsia"/>
              </w:rPr>
              <w:t>江苏省沭阳县苏州东路与台州南路交汇处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46</w:t>
            </w:r>
          </w:p>
        </w:tc>
        <w:tc>
          <w:tcPr>
            <w:tcW w:w="3402" w:type="dxa"/>
          </w:tcPr>
          <w:p>
            <w:pPr>
              <w:jc w:val="left"/>
            </w:pPr>
            <w:r>
              <w:rPr>
                <w:rFonts w:hint="eastAsia"/>
              </w:rPr>
              <w:t>江苏沭阳农村商业银行股份有限公司贤官分理处</w:t>
            </w:r>
          </w:p>
        </w:tc>
        <w:tc>
          <w:tcPr>
            <w:tcW w:w="5245" w:type="dxa"/>
          </w:tcPr>
          <w:p>
            <w:r>
              <w:rPr>
                <w:rFonts w:hint="eastAsia"/>
              </w:rPr>
              <w:t>沭阳县贤官镇贤官街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47</w:t>
            </w:r>
          </w:p>
        </w:tc>
        <w:tc>
          <w:tcPr>
            <w:tcW w:w="3402" w:type="dxa"/>
          </w:tcPr>
          <w:p>
            <w:pPr>
              <w:jc w:val="left"/>
            </w:pPr>
            <w:r>
              <w:rPr>
                <w:rFonts w:hint="eastAsia"/>
              </w:rPr>
              <w:t>江苏沭阳农村商业银行股份有限公司华冲分理处</w:t>
            </w:r>
          </w:p>
        </w:tc>
        <w:tc>
          <w:tcPr>
            <w:tcW w:w="5245" w:type="dxa"/>
          </w:tcPr>
          <w:p>
            <w:r>
              <w:rPr>
                <w:rFonts w:hint="eastAsia"/>
              </w:rPr>
              <w:t>沭阳县华冲镇华冲街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pPr>
            <w:r>
              <w:rPr>
                <w:rFonts w:hint="eastAsia"/>
              </w:rPr>
              <w:t>4</w:t>
            </w:r>
            <w:r>
              <w:t>8</w:t>
            </w:r>
          </w:p>
        </w:tc>
        <w:tc>
          <w:tcPr>
            <w:tcW w:w="3402" w:type="dxa"/>
          </w:tcPr>
          <w:p>
            <w:pPr>
              <w:jc w:val="left"/>
            </w:pPr>
            <w:r>
              <w:rPr>
                <w:rFonts w:hint="eastAsia"/>
              </w:rPr>
              <w:t>江苏沭阳农村商业银行股份有限公司南湖支行</w:t>
            </w:r>
          </w:p>
        </w:tc>
        <w:tc>
          <w:tcPr>
            <w:tcW w:w="5245" w:type="dxa"/>
          </w:tcPr>
          <w:p>
            <w:r>
              <w:rPr>
                <w:rFonts w:hint="eastAsia"/>
              </w:rPr>
              <w:t>沭阳县北京南路东侧、南湖路北侧万达广场4</w:t>
            </w:r>
            <w:r>
              <w:t>4</w:t>
            </w:r>
            <w:r>
              <w:rPr>
                <w:rFonts w:hint="eastAsia"/>
              </w:rPr>
              <w:t>号、8</w:t>
            </w:r>
            <w:r>
              <w:t>5</w:t>
            </w:r>
            <w:r>
              <w:rPr>
                <w:rFonts w:hint="eastAsia"/>
              </w:rPr>
              <w:t>号商铺</w:t>
            </w:r>
          </w:p>
        </w:tc>
      </w:tr>
    </w:tbl>
    <w:p>
      <w:pPr>
        <w:spacing w:line="540" w:lineRule="exact"/>
        <w:ind w:firstLine="600" w:firstLineChars="200"/>
        <w:rPr>
          <w:rFonts w:ascii="仿宋_GB2312" w:hAnsi="宋体" w:eastAsia="仿宋_GB2312"/>
          <w:color w:val="0000FF"/>
          <w:sz w:val="30"/>
          <w:szCs w:val="30"/>
        </w:rPr>
      </w:pPr>
    </w:p>
    <w:p>
      <w:pPr>
        <w:pStyle w:val="7"/>
        <w:spacing w:line="540" w:lineRule="exact"/>
        <w:ind w:firstLine="2570" w:firstLineChars="800"/>
        <w:rPr>
          <w:rFonts w:ascii="黑体" w:hAnsi="黑体" w:eastAsia="黑体"/>
          <w:b/>
          <w:sz w:val="32"/>
          <w:szCs w:val="32"/>
        </w:rPr>
      </w:pPr>
      <w:r>
        <w:rPr>
          <w:rFonts w:hint="eastAsia" w:hAnsi="宋体"/>
          <w:b/>
          <w:color w:val="000000" w:themeColor="text1"/>
          <w:sz w:val="32"/>
          <w:szCs w:val="32"/>
          <w14:textFill>
            <w14:solidFill>
              <w14:schemeClr w14:val="tx1"/>
            </w14:solidFill>
          </w14:textFill>
        </w:rPr>
        <w:t xml:space="preserve">   </w:t>
      </w:r>
      <w:bookmarkStart w:id="10" w:name="_Toc3861"/>
      <w:r>
        <w:rPr>
          <w:rFonts w:hint="eastAsia" w:ascii="黑体" w:hAnsi="黑体" w:eastAsia="黑体"/>
          <w:b/>
          <w:color w:val="000000" w:themeColor="text1"/>
          <w:sz w:val="32"/>
          <w:szCs w:val="32"/>
          <w14:textFill>
            <w14:solidFill>
              <w14:schemeClr w14:val="tx1"/>
            </w14:solidFill>
          </w14:textFill>
        </w:rPr>
        <w:t xml:space="preserve">第七节 </w:t>
      </w:r>
      <w:bookmarkEnd w:id="10"/>
      <w:r>
        <w:rPr>
          <w:rFonts w:hint="eastAsia" w:ascii="黑体" w:hAnsi="黑体" w:eastAsia="黑体"/>
          <w:b/>
          <w:sz w:val="32"/>
          <w:szCs w:val="32"/>
        </w:rPr>
        <w:t>风险管理信息</w:t>
      </w:r>
    </w:p>
    <w:p>
      <w:pPr>
        <w:spacing w:line="520" w:lineRule="exact"/>
        <w:ind w:firstLine="643" w:firstLineChars="200"/>
        <w:jc w:val="center"/>
        <w:outlineLvl w:val="0"/>
        <w:rPr>
          <w:rFonts w:ascii="仿宋_GB2312" w:hAnsi="华文楷体" w:eastAsia="仿宋_GB2312"/>
          <w:b/>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40" w:lineRule="exact"/>
        <w:ind w:left="640" w:leftChars="305" w:right="0" w:firstLine="0" w:firstLineChars="0"/>
        <w:textAlignment w:val="auto"/>
        <w:rPr>
          <w:rFonts w:hint="eastAsia" w:ascii="仿宋_GB2312" w:hAnsi="仿宋_GB2312" w:eastAsia="仿宋_GB2312" w:cs="仿宋_GB2312"/>
          <w:b/>
          <w:color w:val="000000" w:themeColor="text1"/>
          <w:sz w:val="32"/>
          <w:szCs w:val="32"/>
          <w14:textFill>
            <w14:solidFill>
              <w14:schemeClr w14:val="tx1"/>
            </w14:solidFill>
          </w14:textFill>
        </w:rPr>
      </w:pPr>
      <w:bookmarkStart w:id="11" w:name="_Toc2160"/>
      <w:r>
        <w:rPr>
          <w:rFonts w:hint="eastAsia" w:ascii="仿宋_GB2312" w:hAnsi="仿宋_GB2312" w:eastAsia="仿宋_GB2312" w:cs="仿宋_GB2312"/>
          <w:b/>
          <w:color w:val="000000" w:themeColor="text1"/>
          <w:sz w:val="32"/>
          <w:szCs w:val="32"/>
          <w14:textFill>
            <w14:solidFill>
              <w14:schemeClr w14:val="tx1"/>
            </w14:solidFill>
          </w14:textFill>
        </w:rPr>
        <w:t>一、信用风险管理</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（一）信贷结构持续优化，支农支小能力全面提升。</w:t>
      </w:r>
      <w:r>
        <w:rPr>
          <w:rFonts w:hint="eastAsia" w:ascii="仿宋_GB2312" w:hAnsi="仿宋_GB2312" w:eastAsia="仿宋_GB2312" w:cs="仿宋_GB2312"/>
          <w:sz w:val="32"/>
          <w:szCs w:val="32"/>
        </w:rPr>
        <w:t>截至2025年12月末，我行各项</w:t>
      </w:r>
      <w:r>
        <w:rPr>
          <w:rFonts w:hint="eastAsia" w:ascii="仿宋_GB2312" w:hAnsi="仿宋_GB2312" w:eastAsia="仿宋_GB2312" w:cs="仿宋_GB2312"/>
          <w:bCs/>
          <w:color w:val="000000"/>
          <w:sz w:val="32"/>
          <w:szCs w:val="32"/>
        </w:rPr>
        <w:t>贷款余额</w:t>
      </w:r>
      <w:r>
        <w:rPr>
          <w:rFonts w:hint="eastAsia" w:ascii="仿宋_GB2312" w:hAnsi="仿宋_GB2312" w:eastAsia="仿宋_GB2312" w:cs="仿宋_GB2312"/>
          <w:sz w:val="32"/>
          <w:szCs w:val="32"/>
        </w:rPr>
        <w:t>（监管口径）402.98亿元。其中：涉农贷款余额318.67亿元，比年初增加12.43亿元，占各项贷款比例79.08%，比年初下降0.93个百分点</w:t>
      </w:r>
      <w:r>
        <w:rPr>
          <w:rFonts w:hint="eastAsia" w:ascii="仿宋_GB2312" w:hAnsi="仿宋_GB2312" w:eastAsia="仿宋_GB2312" w:cs="仿宋_GB2312"/>
          <w:color w:val="000000"/>
          <w:sz w:val="32"/>
          <w:szCs w:val="32"/>
        </w:rPr>
        <w:t>；小微企业贷款</w:t>
      </w:r>
      <w:r>
        <w:rPr>
          <w:rFonts w:hint="eastAsia" w:ascii="仿宋_GB2312" w:hAnsi="仿宋_GB2312" w:eastAsia="仿宋_GB2312" w:cs="仿宋_GB2312"/>
          <w:sz w:val="32"/>
          <w:szCs w:val="32"/>
        </w:rPr>
        <w:t>户数28977户，比年初增加2344户，贷款余额217.54亿元，比年初增加22.36亿元；普惠型小微企业贷款余额168.97亿元，比年初增加7.96亿元。</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Style w:val="18"/>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（二）信贷资产质量管理审慎，总体风险控制平稳。</w:t>
      </w:r>
      <w:r>
        <w:rPr>
          <w:rFonts w:hint="eastAsia" w:ascii="仿宋_GB2312" w:hAnsi="仿宋_GB2312" w:eastAsia="仿宋_GB2312" w:cs="仿宋_GB2312"/>
          <w:sz w:val="32"/>
          <w:szCs w:val="32"/>
        </w:rPr>
        <w:t>截至2025年12月末，我行五级分类不良贷款</w:t>
      </w:r>
      <w:bookmarkStart w:id="12" w:name="_Hlk140050291"/>
      <w:r>
        <w:rPr>
          <w:rFonts w:hint="eastAsia" w:ascii="仿宋_GB2312" w:hAnsi="仿宋_GB2312" w:eastAsia="仿宋_GB2312" w:cs="仿宋_GB2312"/>
          <w:sz w:val="32"/>
          <w:szCs w:val="32"/>
        </w:rPr>
        <w:t>45875万元，比年初增加2111万元，不良率1.14%，与年初持平；</w:t>
      </w:r>
      <w:bookmarkEnd w:id="12"/>
      <w:r>
        <w:rPr>
          <w:rFonts w:hint="eastAsia" w:ascii="仿宋_GB2312" w:hAnsi="仿宋_GB2312" w:eastAsia="仿宋_GB2312" w:cs="仿宋_GB2312"/>
          <w:sz w:val="32"/>
          <w:szCs w:val="32"/>
        </w:rPr>
        <w:t>逾期欠息60天以上贷款全部调入不良贷款反映，余额41965万元，比年初增加2264万元，占不良贷款比例91.48%，比年初上升0.76个百分点；正常关注类贷款中逾期欠息贷款7994万元，比年初减少9864万元，占贷款总额比例0.20%，比年初下降0.27个百分点，信贷资产风险分类坚持从严、审慎原则，资产质量总体保持平稳，风险可控。</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Style w:val="18"/>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（三）强化房地产行业风险源头把关，做好房地产贷款集中度占比压降工作。</w:t>
      </w:r>
      <w:r>
        <w:rPr>
          <w:rFonts w:hint="eastAsia" w:ascii="仿宋_GB2312" w:hAnsi="仿宋_GB2312" w:eastAsia="仿宋_GB2312" w:cs="仿宋_GB2312"/>
          <w:sz w:val="32"/>
          <w:szCs w:val="32"/>
        </w:rPr>
        <w:t>截至2025年12月末，我行</w:t>
      </w:r>
      <w:bookmarkStart w:id="13" w:name="_Hlk140050652"/>
      <w:r>
        <w:rPr>
          <w:rFonts w:hint="eastAsia" w:ascii="仿宋_GB2312" w:hAnsi="仿宋_GB2312" w:eastAsia="仿宋_GB2312" w:cs="仿宋_GB2312"/>
          <w:sz w:val="32"/>
          <w:szCs w:val="32"/>
        </w:rPr>
        <w:t>房地产贷款余额</w:t>
      </w:r>
      <w:bookmarkEnd w:id="13"/>
      <w:r>
        <w:rPr>
          <w:rFonts w:hint="eastAsia" w:ascii="仿宋_GB2312" w:hAnsi="仿宋_GB2312" w:eastAsia="仿宋_GB2312" w:cs="仿宋_GB2312"/>
          <w:sz w:val="32"/>
          <w:szCs w:val="32"/>
        </w:rPr>
        <w:t>476733万元，比年初增加16244万元，集中度占比11.83%，比年初下降0.20个百分点；其中开发贷款45125万元，比年初增加14250万元；个人住房按揭贷款余额419875万元，比年初增加6629万元，集中度占比10.42%，比年初下降0.38个百分点。按照上级监管部门房地产贷款集中度管理过渡期内压降实施方案的管理要求和本行压降计划，我行房地产贷款、个人住房按揭贷款集中度占比均已压降达标。</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（四）注重大额、集团和关联方客户限额管理，无集中度风险。</w:t>
      </w:r>
      <w:r>
        <w:rPr>
          <w:rFonts w:hint="eastAsia" w:ascii="仿宋_GB2312" w:hAnsi="仿宋_GB2312" w:eastAsia="仿宋_GB2312" w:cs="仿宋_GB2312"/>
          <w:sz w:val="32"/>
          <w:szCs w:val="32"/>
        </w:rPr>
        <w:t>本行大额贷款主要分布在房地产开发、造纸、建筑、纺织、花卉等行业，分</w:t>
      </w:r>
      <w:r>
        <w:rPr>
          <w:rFonts w:hint="eastAsia" w:ascii="仿宋_GB2312" w:hAnsi="仿宋_GB2312" w:eastAsia="仿宋_GB2312" w:cs="仿宋_GB2312"/>
          <w:color w:val="000000"/>
          <w:sz w:val="32"/>
          <w:szCs w:val="32"/>
        </w:rPr>
        <w:t>布分散，符合相关行业、单户等集中度限额指标要求，大额贷款借款人均生产经营正常、还款来源有保障，贷款风险分类无不良。截至2025年12月末，我行5000万元以上大额贷款（含贴现）户数16户、258365万元，比年初户数增加3户、122113万元，占贷款总额比例6.41%，比年初上升2.85个百分点，符合监管要求。最大单家集团客户授信为江苏宿迁沭发建设集团（江苏宿迁沭发建设控股集团有限公司、沭阳丽居物业管理有限公司等）总授信72200万元，占资本净额比例11.5%，最大单家客户贷款为沭阳县城乡水务发展有限公司45000万元，占资本净额比例7.17%，最大单户关联方贷款为沭阳县梦溪自来水有限公司40000万元，</w:t>
      </w:r>
      <w:r>
        <w:rPr>
          <w:rFonts w:hint="eastAsia" w:ascii="仿宋_GB2312" w:hAnsi="仿宋_GB2312" w:eastAsia="仿宋_GB2312" w:cs="仿宋_GB2312"/>
          <w:sz w:val="32"/>
          <w:szCs w:val="32"/>
        </w:rPr>
        <w:t>占资本净额比例6.37%，最大单户关联方所在集团授信为沭阳县梦溪自来水有限公司、江苏沭阳城开集团有限公司和沭阳民生城市公共交通有限公司合计56000万元，占资本净额比例8.92%；全部关联方授信净额（用信余额）90577.49万元，占资本净额的14.43%，控制在50%以内，无不良贷款、逾期贷款，资产质量保持良好，</w:t>
      </w:r>
      <w:r>
        <w:rPr>
          <w:rFonts w:hint="eastAsia" w:ascii="仿宋_GB2312" w:hAnsi="仿宋_GB2312" w:eastAsia="仿宋_GB2312" w:cs="仿宋_GB2312"/>
          <w:color w:val="000000"/>
          <w:sz w:val="32"/>
          <w:szCs w:val="32"/>
        </w:rPr>
        <w:t>风险可控。</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二、操作风险管理。</w:t>
      </w:r>
      <w:r>
        <w:rPr>
          <w:rFonts w:hint="eastAsia" w:ascii="仿宋_GB2312" w:hAnsi="仿宋_GB2312" w:eastAsia="仿宋_GB2312" w:cs="仿宋_GB2312"/>
          <w:sz w:val="32"/>
          <w:szCs w:val="32"/>
        </w:rPr>
        <w:t>截至2025年12月末，我行网点数量48个，正式在岗员工人数</w:t>
      </w:r>
      <w:r>
        <w:rPr>
          <w:rFonts w:hint="eastAsia" w:ascii="仿宋_GB2312" w:hAnsi="仿宋_GB2312" w:eastAsia="仿宋_GB2312" w:cs="仿宋_GB2312"/>
          <w:sz w:val="32"/>
          <w:szCs w:val="32"/>
          <w:lang w:val="en-US" w:eastAsia="zh-CN"/>
        </w:rPr>
        <w:t>668</w:t>
      </w:r>
      <w:r>
        <w:rPr>
          <w:rFonts w:hint="eastAsia" w:ascii="仿宋_GB2312" w:hAnsi="仿宋_GB2312" w:eastAsia="仿宋_GB2312" w:cs="仿宋_GB2312"/>
          <w:sz w:val="32"/>
          <w:szCs w:val="32"/>
        </w:rPr>
        <w:t>人，员工队伍保持稳定，无核心人才外流，通过开展各类培训和考试、完善条线规章制度、加强科技系统应用、强化检查监督和案件防控等措施，持续提高员工素质、强化内部流程控制，报告期内未发生重大风险事件、司法涉诉事件和案件。</w:t>
      </w:r>
    </w:p>
    <w:p>
      <w:pPr>
        <w:keepNext w:val="0"/>
        <w:keepLines w:val="0"/>
        <w:pageBreakBefore w:val="0"/>
        <w:kinsoku/>
        <w:wordWrap/>
        <w:overflowPunct/>
        <w:topLinePunct w:val="0"/>
        <w:autoSpaceDE/>
        <w:autoSpaceDN/>
        <w:bidi w:val="0"/>
        <w:adjustRightInd/>
        <w:snapToGrid/>
        <w:spacing w:line="540" w:lineRule="exact"/>
        <w:ind w:right="0"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1.持续强化业务操作检查监督。</w:t>
      </w:r>
      <w:r>
        <w:rPr>
          <w:rFonts w:hint="eastAsia" w:ascii="仿宋_GB2312" w:hAnsi="仿宋_GB2312" w:eastAsia="仿宋_GB2312" w:cs="仿宋_GB2312"/>
          <w:color w:val="000000" w:themeColor="text1"/>
          <w:sz w:val="32"/>
          <w:szCs w:val="32"/>
          <w14:textFill>
            <w14:solidFill>
              <w14:schemeClr w14:val="tx1"/>
            </w14:solidFill>
          </w14:textFill>
        </w:rPr>
        <w:t>基于我行自身业务特点、风险状况、案防形势等，制定2025年操作风险排查计划，</w:t>
      </w:r>
      <w:r>
        <w:rPr>
          <w:rFonts w:hint="eastAsia" w:ascii="仿宋_GB2312" w:hAnsi="仿宋_GB2312" w:eastAsia="仿宋_GB2312" w:cs="仿宋_GB2312"/>
          <w:sz w:val="32"/>
          <w:szCs w:val="32"/>
        </w:rPr>
        <w:t>将</w:t>
      </w:r>
      <w:r>
        <w:rPr>
          <w:rFonts w:hint="eastAsia" w:ascii="仿宋_GB2312" w:hAnsi="仿宋_GB2312" w:eastAsia="仿宋_GB2312" w:cs="仿宋_GB2312"/>
          <w:color w:val="000000"/>
          <w:sz w:val="32"/>
          <w:szCs w:val="32"/>
        </w:rPr>
        <w:t>信贷管理、运营管理、金融消费者权益保护、金融统计、公司治理、金融市场、征信管理</w:t>
      </w:r>
      <w:r>
        <w:rPr>
          <w:rFonts w:hint="eastAsia" w:ascii="仿宋_GB2312" w:hAnsi="仿宋_GB2312" w:eastAsia="仿宋_GB2312" w:cs="仿宋_GB2312"/>
          <w:sz w:val="32"/>
          <w:szCs w:val="32"/>
        </w:rPr>
        <w:t>等领域监管易处罚点以及本条线合规短板清单所涉领域列入必查项目</w:t>
      </w:r>
      <w:r>
        <w:rPr>
          <w:rFonts w:hint="eastAsia" w:ascii="仿宋_GB2312" w:hAnsi="仿宋_GB2312" w:eastAsia="仿宋_GB2312" w:cs="仿宋_GB2312"/>
          <w:color w:val="000000" w:themeColor="text1"/>
          <w:sz w:val="32"/>
          <w:szCs w:val="32"/>
          <w14:textFill>
            <w14:solidFill>
              <w14:schemeClr w14:val="tx1"/>
            </w14:solidFill>
          </w14:textFill>
        </w:rPr>
        <w:t>，按照“纵向到底、横向到边”的原则，确保排查内容涵盖所有关键环节和重点领域、排查范围覆盖所有机构和岗位(一道防线年度自查业务种类、营业机构实现全覆盖，自查率达100%)。</w:t>
      </w:r>
      <w:r>
        <w:rPr>
          <w:rFonts w:hint="eastAsia" w:ascii="仿宋_GB2312" w:hAnsi="仿宋_GB2312" w:eastAsia="仿宋_GB2312" w:cs="仿宋_GB2312"/>
          <w:b/>
          <w:color w:val="000000" w:themeColor="text1"/>
          <w:sz w:val="32"/>
          <w:szCs w:val="32"/>
          <w14:textFill>
            <w14:solidFill>
              <w14:schemeClr w14:val="tx1"/>
            </w14:solidFill>
          </w14:textFill>
        </w:rPr>
        <w:t>本季度实施的检查项目有：一是</w:t>
      </w:r>
      <w:r>
        <w:rPr>
          <w:rFonts w:hint="eastAsia" w:ascii="仿宋_GB2312" w:hAnsi="仿宋_GB2312" w:eastAsia="仿宋_GB2312" w:cs="仿宋_GB2312"/>
          <w:kern w:val="0"/>
          <w:sz w:val="32"/>
          <w:szCs w:val="32"/>
          <w:lang w:bidi="ar"/>
        </w:rPr>
        <w:t>开展反洗钱专项检查。10月份组织专人开展2025年度反洗钱业务专项检查，实现全行网点、各业务部门及反洗钱中心全覆盖，对反洗钱业务开展深度“体检”，及时排查并弥补业务薄弱环节。</w:t>
      </w:r>
      <w:r>
        <w:rPr>
          <w:rFonts w:hint="eastAsia" w:ascii="仿宋_GB2312" w:hAnsi="仿宋_GB2312" w:eastAsia="仿宋_GB2312" w:cs="仿宋_GB2312"/>
          <w:b/>
          <w:color w:val="000000"/>
          <w:sz w:val="32"/>
          <w:szCs w:val="32"/>
        </w:rPr>
        <w:t>二是</w:t>
      </w:r>
      <w:r>
        <w:rPr>
          <w:rFonts w:hint="eastAsia" w:ascii="仿宋_GB2312" w:hAnsi="仿宋_GB2312" w:eastAsia="仿宋_GB2312" w:cs="仿宋_GB2312"/>
          <w:b/>
          <w:sz w:val="32"/>
          <w:szCs w:val="32"/>
        </w:rPr>
        <w:t>对信贷资金流向进行监测。</w:t>
      </w:r>
      <w:r>
        <w:rPr>
          <w:rFonts w:hint="eastAsia" w:ascii="仿宋_GB2312" w:hAnsi="仿宋_GB2312" w:eastAsia="仿宋_GB2312" w:cs="仿宋_GB2312"/>
          <w:sz w:val="32"/>
          <w:szCs w:val="32"/>
        </w:rPr>
        <w:t>对存在贷款用途疑似流向房地产、转入定期、理财等情形的由系统自动生成贷后回访任务，下发管户经理进行现场核查处置，防范资金挪用风险</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b/>
          <w:color w:val="000000"/>
          <w:sz w:val="32"/>
          <w:szCs w:val="32"/>
        </w:rPr>
        <w:t>三是组织开展三次授信检验工作。</w:t>
      </w:r>
      <w:r>
        <w:rPr>
          <w:rFonts w:hint="eastAsia" w:ascii="仿宋_GB2312" w:hAnsi="仿宋_GB2312" w:eastAsia="仿宋_GB2312" w:cs="仿宋_GB2312"/>
          <w:sz w:val="32"/>
          <w:szCs w:val="32"/>
        </w:rPr>
        <w:t>现场检验个人12039户、企业2244户，通过检查授信对象风险状况，摸清风险底数，对授信风险和授信业务拓展实施持续化管理。对存量贷款中有风险户，及时采取有效风险控制措施，进行授信调减、授信限制；对存量贷款中无风险户，做好维持、调增等授信服务。通过检验，切实保障“阳光信贷”长效机制落实，促进本行业务拓展和信贷资产质量提高。</w:t>
      </w:r>
      <w:r>
        <w:rPr>
          <w:rFonts w:hint="eastAsia" w:ascii="仿宋_GB2312" w:hAnsi="仿宋_GB2312" w:eastAsia="仿宋_GB2312" w:cs="仿宋_GB2312"/>
          <w:b/>
          <w:color w:val="000000" w:themeColor="text1"/>
          <w:sz w:val="32"/>
          <w:szCs w:val="32"/>
          <w14:textFill>
            <w14:solidFill>
              <w14:schemeClr w14:val="tx1"/>
            </w14:solidFill>
          </w14:textFill>
        </w:rPr>
        <w:t>四是</w:t>
      </w:r>
      <w:r>
        <w:rPr>
          <w:rFonts w:hint="eastAsia" w:ascii="仿宋_GB2312" w:hAnsi="仿宋_GB2312" w:eastAsia="仿宋_GB2312" w:cs="仿宋_GB2312"/>
          <w:b/>
          <w:bCs/>
          <w:sz w:val="32"/>
          <w:szCs w:val="32"/>
        </w:rPr>
        <w:t>落实安全责任，筑牢安全管理防线。</w:t>
      </w:r>
      <w:r>
        <w:rPr>
          <w:rFonts w:hint="eastAsia" w:ascii="仿宋_GB2312" w:hAnsi="仿宋_GB2312" w:eastAsia="仿宋_GB2312" w:cs="仿宋_GB2312"/>
          <w:kern w:val="0"/>
          <w:sz w:val="32"/>
          <w:szCs w:val="32"/>
        </w:rPr>
        <w:t>在全行范围内开展消防安全专项检查活动，闭环整治各类火灾隐患，提升消防安全管理精细化水平。年底前</w:t>
      </w:r>
      <w:r>
        <w:rPr>
          <w:rFonts w:hint="eastAsia" w:ascii="仿宋_GB2312" w:hAnsi="仿宋_GB2312" w:eastAsia="仿宋_GB2312" w:cs="仿宋_GB2312"/>
          <w:sz w:val="32"/>
          <w:szCs w:val="32"/>
        </w:rPr>
        <w:t>在全行范围内开展2026年元旦节前安全大检查。由行领导带队，组成6个检查小组，对全行网点、自助行、总行大楼开展全面检查，</w:t>
      </w:r>
      <w:r>
        <w:rPr>
          <w:rFonts w:hint="eastAsia" w:ascii="仿宋_GB2312" w:hAnsi="仿宋_GB2312" w:eastAsia="仿宋_GB2312" w:cs="仿宋_GB2312"/>
          <w:sz w:val="32"/>
          <w:szCs w:val="32"/>
          <w:lang w:bidi="ar"/>
        </w:rPr>
        <w:t>采取非现场检查+现场检查方式。对个别单位手机充电器“空充”、保安履职不到位等问题，严格落实经济处罚，在全行起到一定的震慑作用。</w:t>
      </w:r>
      <w:r>
        <w:rPr>
          <w:rFonts w:hint="eastAsia" w:ascii="仿宋_GB2312" w:hAnsi="仿宋_GB2312" w:eastAsia="仿宋_GB2312" w:cs="仿宋_GB2312"/>
          <w:b/>
          <w:color w:val="000000" w:themeColor="text1"/>
          <w:sz w:val="32"/>
          <w:szCs w:val="32"/>
          <w14:textFill>
            <w14:solidFill>
              <w14:schemeClr w14:val="tx1"/>
            </w14:solidFill>
          </w14:textFill>
        </w:rPr>
        <w:t>四是筑牢风险管理第三道防线。</w:t>
      </w:r>
      <w:r>
        <w:rPr>
          <w:rFonts w:hint="eastAsia" w:ascii="仿宋_GB2312" w:hAnsi="仿宋_GB2312" w:eastAsia="仿宋_GB2312" w:cs="仿宋_GB2312"/>
          <w:sz w:val="32"/>
          <w:szCs w:val="32"/>
          <w:lang w:bidi="ar"/>
        </w:rPr>
        <w:t>2</w:t>
      </w:r>
      <w:r>
        <w:rPr>
          <w:rFonts w:hint="eastAsia" w:ascii="仿宋_GB2312" w:hAnsi="仿宋_GB2312" w:eastAsia="仿宋_GB2312" w:cs="仿宋_GB2312"/>
          <w:bCs/>
          <w:sz w:val="32"/>
          <w:szCs w:val="32"/>
        </w:rPr>
        <w:t>025年四季度，稽核审计部共开展7项审计项目，</w:t>
      </w:r>
      <w:r>
        <w:rPr>
          <w:rFonts w:hint="eastAsia" w:ascii="仿宋_GB2312" w:hAnsi="仿宋_GB2312" w:eastAsia="仿宋_GB2312" w:cs="仿宋_GB2312"/>
          <w:sz w:val="32"/>
          <w:szCs w:val="32"/>
        </w:rPr>
        <w:t>分别是天津路支行、塘沟支行全面审计，反洗钱、信贷资产风险分类专项审计，官墩支行、钱集支行、沭城支行后续审计等，有效执行风险防控第三道防线。</w:t>
      </w:r>
    </w:p>
    <w:p>
      <w:pPr>
        <w:keepNext w:val="0"/>
        <w:keepLines w:val="0"/>
        <w:pageBreakBefore w:val="0"/>
        <w:kinsoku/>
        <w:wordWrap/>
        <w:overflowPunct/>
        <w:topLinePunct w:val="0"/>
        <w:autoSpaceDE/>
        <w:autoSpaceDN/>
        <w:bidi w:val="0"/>
        <w:adjustRightInd/>
        <w:snapToGrid/>
        <w:spacing w:line="540" w:lineRule="exact"/>
        <w:ind w:righ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color w:val="000000" w:themeColor="text1"/>
          <w:sz w:val="32"/>
          <w:szCs w:val="32"/>
          <w14:textFill>
            <w14:solidFill>
              <w14:schemeClr w14:val="tx1"/>
            </w14:solidFill>
          </w14:textFill>
        </w:rPr>
        <w:t>2.案防风险防控稳步推进。一是规范员工行为，组织开展年度员工异常行为排查。</w:t>
      </w:r>
      <w:r>
        <w:rPr>
          <w:rFonts w:hint="eastAsia" w:ascii="仿宋_GB2312" w:hAnsi="仿宋_GB2312" w:eastAsia="仿宋_GB2312" w:cs="仿宋_GB2312"/>
          <w:bCs/>
          <w:color w:val="000000" w:themeColor="text1"/>
          <w:sz w:val="32"/>
          <w:szCs w:val="32"/>
          <w14:textFill>
            <w14:solidFill>
              <w14:schemeClr w14:val="tx1"/>
            </w14:solidFill>
          </w14:textFill>
        </w:rPr>
        <w:t>按照“不漏一人”的原则，实现排查人员全覆盖。突出“五个必查”，将员工经商办企、大额负债、司法诉讼、异常消费、异常交易作为必查内容和发现问题的突破口。同时组织对省农商联合银行下发员工疑点数据进行逐一核查。</w:t>
      </w:r>
      <w:r>
        <w:rPr>
          <w:rFonts w:hint="eastAsia" w:ascii="仿宋_GB2312" w:hAnsi="仿宋_GB2312" w:eastAsia="仿宋_GB2312" w:cs="仿宋_GB2312"/>
          <w:b/>
          <w:color w:val="000000" w:themeColor="text1"/>
          <w:sz w:val="32"/>
          <w:szCs w:val="32"/>
          <w14:textFill>
            <w14:solidFill>
              <w14:schemeClr w14:val="tx1"/>
            </w14:solidFill>
          </w14:textFill>
        </w:rPr>
        <w:t>二是开展专项检查，推动案防管理向重点领域延伸。</w:t>
      </w:r>
      <w:r>
        <w:rPr>
          <w:rFonts w:hint="eastAsia" w:ascii="仿宋_GB2312" w:hAnsi="仿宋_GB2312" w:eastAsia="仿宋_GB2312" w:cs="仿宋_GB2312"/>
          <w:bCs/>
          <w:color w:val="000000" w:themeColor="text1"/>
          <w:sz w:val="32"/>
          <w:szCs w:val="32"/>
          <w14:textFill>
            <w14:solidFill>
              <w14:schemeClr w14:val="tx1"/>
            </w14:solidFill>
          </w14:textFill>
        </w:rPr>
        <w:t>开展员工行为管理有关风险排查，</w:t>
      </w:r>
      <w:r>
        <w:rPr>
          <w:rFonts w:hint="eastAsia" w:ascii="仿宋_GB2312" w:hAnsi="仿宋_GB2312" w:eastAsia="仿宋_GB2312" w:cs="仿宋_GB2312"/>
          <w:color w:val="111111"/>
          <w:sz w:val="32"/>
          <w:szCs w:val="32"/>
          <w:shd w:val="clear" w:color="auto" w:fill="FFFFFF"/>
        </w:rPr>
        <w:t>围绕业务档案中客</w:t>
      </w:r>
      <w:r>
        <w:rPr>
          <w:rFonts w:hint="eastAsia" w:ascii="仿宋_GB2312" w:hAnsi="仿宋_GB2312" w:eastAsia="仿宋_GB2312" w:cs="仿宋_GB2312"/>
          <w:bCs/>
          <w:color w:val="000000" w:themeColor="text1"/>
          <w:sz w:val="32"/>
          <w:szCs w:val="32"/>
          <w14:textFill>
            <w14:solidFill>
              <w14:schemeClr w14:val="tx1"/>
            </w14:solidFill>
          </w14:textFill>
        </w:rPr>
        <w:t>户印章真实性以及员工违规制作、保管、使用客户公章印模等问题，针对检查发现个别办公电脑未能及时清理敏感数据文件问题，组织科技部门及时清理办公电脑敏感数据信息。</w:t>
      </w:r>
      <w:r>
        <w:rPr>
          <w:rFonts w:hint="eastAsia" w:ascii="仿宋_GB2312" w:hAnsi="仿宋_GB2312" w:eastAsia="仿宋_GB2312" w:cs="仿宋_GB2312"/>
          <w:sz w:val="32"/>
          <w:szCs w:val="32"/>
        </w:rPr>
        <w:t>组织金融领域“黑灰产”违法犯罪线索排查，排查覆盖支付结算类黑灰产、信贷类黑灰产、虚拟货币与新型技术犯罪、信息窃取与数据犯罪、跨境金融犯罪以及从业人员违反红线等方面。</w:t>
      </w:r>
      <w:r>
        <w:rPr>
          <w:rFonts w:hint="eastAsia" w:ascii="仿宋_GB2312" w:hAnsi="仿宋_GB2312" w:eastAsia="仿宋_GB2312" w:cs="仿宋_GB2312"/>
          <w:bCs/>
          <w:color w:val="000000" w:themeColor="text1"/>
          <w:kern w:val="0"/>
          <w:sz w:val="32"/>
          <w:szCs w:val="32"/>
          <w14:textFill>
            <w14:solidFill>
              <w14:schemeClr w14:val="tx1"/>
            </w14:solidFill>
          </w14:textFill>
        </w:rPr>
        <w:t>组织</w:t>
      </w:r>
      <w:r>
        <w:rPr>
          <w:rFonts w:hint="eastAsia" w:ascii="仿宋_GB2312" w:hAnsi="仿宋_GB2312" w:eastAsia="仿宋_GB2312" w:cs="仿宋_GB2312"/>
          <w:sz w:val="32"/>
          <w:szCs w:val="32"/>
        </w:rPr>
        <w:t>对合规管理系统筛选的107条可疑数据线索进行逐笔核查等。</w:t>
      </w:r>
      <w:r>
        <w:rPr>
          <w:rFonts w:hint="eastAsia" w:ascii="仿宋_GB2312" w:hAnsi="仿宋_GB2312" w:eastAsia="仿宋_GB2312" w:cs="仿宋_GB2312"/>
          <w:b/>
          <w:color w:val="000000" w:themeColor="text1"/>
          <w:sz w:val="32"/>
          <w:szCs w:val="32"/>
          <w14:textFill>
            <w14:solidFill>
              <w14:schemeClr w14:val="tx1"/>
            </w14:solidFill>
          </w14:textFill>
        </w:rPr>
        <w:t>三是坚持标本兼治，深化以案促改，构建“三不腐”长效机制。</w:t>
      </w:r>
      <w:r>
        <w:rPr>
          <w:rFonts w:hint="eastAsia" w:ascii="仿宋_GB2312" w:hAnsi="仿宋_GB2312" w:eastAsia="仿宋_GB2312" w:cs="仿宋_GB2312"/>
          <w:sz w:val="32"/>
          <w:szCs w:val="32"/>
        </w:rPr>
        <w:t>立足“查办一案、警示一片、治理一域”目标，将违规行为查处、整改、治理贯通融合，强化风腐“同查”“同治”。一是深化以案促改。收集典型案例2起，开展以案促改促治工作，推动个体、支部、机关三个层面系统剖析问题根源，精准识别症结，发出监督建议书5份，督促完善制度2项。</w:t>
      </w:r>
    </w:p>
    <w:p>
      <w:pPr>
        <w:keepNext w:val="0"/>
        <w:keepLines w:val="0"/>
        <w:pageBreakBefore w:val="0"/>
        <w:kinsoku/>
        <w:wordWrap/>
        <w:overflowPunct/>
        <w:topLinePunct w:val="0"/>
        <w:autoSpaceDE/>
        <w:autoSpaceDN/>
        <w:bidi w:val="0"/>
        <w:adjustRightInd/>
        <w:snapToGrid/>
        <w:spacing w:line="540" w:lineRule="exact"/>
        <w:ind w:right="0" w:firstLine="643" w:firstLineChars="200"/>
        <w:textAlignment w:val="auto"/>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3.廉洁风险防控持续发力。</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抓牢政治监督。突出加强对“一把手”和领导班子的监督，完善“两个责任清单”。通过列席会议、提出意见等方式，推动各项政策部署落地落实。协助上级“一把手”对下级“一把手”开展监督谈话36人次，开展提醒谈话18人次，制发监督意见书4份。</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强化专项监督。在派驻纪检组的安排下，有序落实大额风险和大额损失专项监督、资产清查利用、招标采购项目履约倒查、物资用品采购及收发存管等4个专项监督，发现资产闲置、抵债资产处置不及时等7个问题，提出监督意见5条，推动300万元债权落实，3处闲置房产盘活利用，制定、完善相关制度2项，推动物资管理系统立项1项。</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保持高压态势。用身边人、身边事现身说法，放大查处效果，进一步发挥治本功能。对</w:t>
      </w:r>
      <w:r>
        <w:rPr>
          <w:rFonts w:hint="eastAsia" w:ascii="仿宋_GB2312" w:hAnsi="仿宋_GB2312" w:eastAsia="仿宋_GB2312" w:cs="仿宋_GB2312"/>
          <w:sz w:val="32"/>
          <w:szCs w:val="32"/>
          <w:lang w:val="en-US" w:eastAsia="zh-CN"/>
        </w:rPr>
        <w:t>2名员工</w:t>
      </w:r>
      <w:r>
        <w:rPr>
          <w:rFonts w:hint="eastAsia" w:ascii="仿宋_GB2312" w:hAnsi="仿宋_GB2312" w:eastAsia="仿宋_GB2312" w:cs="仿宋_GB2312"/>
          <w:sz w:val="32"/>
          <w:szCs w:val="32"/>
        </w:rPr>
        <w:t>依据内部管理规定，分别给予</w:t>
      </w:r>
      <w:r>
        <w:rPr>
          <w:rFonts w:hint="eastAsia" w:ascii="仿宋_GB2312" w:hAnsi="仿宋_GB2312" w:eastAsia="仿宋_GB2312" w:cs="仿宋_GB2312"/>
          <w:sz w:val="32"/>
          <w:szCs w:val="32"/>
          <w:lang w:val="en-US" w:eastAsia="zh-CN"/>
        </w:rPr>
        <w:t>记</w:t>
      </w:r>
      <w:r>
        <w:rPr>
          <w:rFonts w:hint="eastAsia" w:ascii="仿宋_GB2312" w:hAnsi="仿宋_GB2312" w:eastAsia="仿宋_GB2312" w:cs="仿宋_GB2312"/>
          <w:sz w:val="32"/>
          <w:szCs w:val="32"/>
        </w:rPr>
        <w:t>过</w:t>
      </w:r>
      <w:r>
        <w:rPr>
          <w:rFonts w:hint="eastAsia" w:ascii="仿宋_GB2312" w:hAnsi="仿宋_GB2312" w:eastAsia="仿宋_GB2312" w:cs="仿宋_GB2312"/>
          <w:sz w:val="32"/>
          <w:szCs w:val="32"/>
          <w:lang w:val="en-US" w:eastAsia="zh-CN"/>
        </w:rPr>
        <w:t>以上</w:t>
      </w:r>
      <w:r>
        <w:rPr>
          <w:rFonts w:hint="eastAsia" w:ascii="仿宋_GB2312" w:hAnsi="仿宋_GB2312" w:eastAsia="仿宋_GB2312" w:cs="仿宋_GB2312"/>
          <w:sz w:val="32"/>
          <w:szCs w:val="32"/>
        </w:rPr>
        <w:t>处分。对</w:t>
      </w:r>
      <w:r>
        <w:rPr>
          <w:rFonts w:hint="eastAsia" w:ascii="仿宋_GB2312" w:hAnsi="仿宋_GB2312" w:eastAsia="仿宋_GB2312" w:cs="仿宋_GB2312"/>
          <w:sz w:val="32"/>
          <w:szCs w:val="32"/>
          <w:lang w:val="en-US" w:eastAsia="zh-CN"/>
        </w:rPr>
        <w:t>1名员工</w:t>
      </w:r>
      <w:r>
        <w:rPr>
          <w:rFonts w:hint="eastAsia" w:ascii="仿宋_GB2312" w:hAnsi="仿宋_GB2312" w:eastAsia="仿宋_GB2312" w:cs="仿宋_GB2312"/>
          <w:sz w:val="32"/>
          <w:szCs w:val="32"/>
        </w:rPr>
        <w:t>给予党内严重警告处分。</w:t>
      </w:r>
      <w:r>
        <w:rPr>
          <w:rFonts w:hint="eastAsia" w:ascii="仿宋_GB2312" w:hAnsi="仿宋_GB2312" w:eastAsia="仿宋_GB2312" w:cs="仿宋_GB2312"/>
          <w:b/>
          <w:bCs/>
          <w:sz w:val="32"/>
          <w:szCs w:val="32"/>
        </w:rPr>
        <w:t>四是</w:t>
      </w:r>
      <w:r>
        <w:rPr>
          <w:rFonts w:hint="eastAsia" w:ascii="仿宋_GB2312" w:hAnsi="仿宋_GB2312" w:eastAsia="仿宋_GB2312" w:cs="仿宋_GB2312"/>
          <w:sz w:val="32"/>
          <w:szCs w:val="32"/>
        </w:rPr>
        <w:t>常态做好廉洁提醒。节日期间下发正风肃纪工作的通知，组织全行干部职工学习中纪委和省纪委以及派驻省联社纪检组公开曝光的违反中央八项规定精神典型问题通报，增强党性观念和法纪意识，持续深化落实中央八项规定精神，推进作风建设常态化。</w:t>
      </w:r>
      <w:r>
        <w:rPr>
          <w:rFonts w:hint="eastAsia" w:ascii="仿宋_GB2312" w:hAnsi="仿宋_GB2312" w:eastAsia="仿宋_GB2312" w:cs="仿宋_GB2312"/>
          <w:b/>
          <w:bCs/>
          <w:sz w:val="32"/>
          <w:szCs w:val="32"/>
        </w:rPr>
        <w:t>五是</w:t>
      </w:r>
      <w:r>
        <w:rPr>
          <w:rFonts w:hint="eastAsia" w:ascii="仿宋_GB2312" w:hAnsi="仿宋_GB2312" w:eastAsia="仿宋_GB2312" w:cs="仿宋_GB2312"/>
          <w:sz w:val="32"/>
          <w:szCs w:val="32"/>
        </w:rPr>
        <w:t>深化警示教育。结合清廉文化建设，协助召开警示教育大会1次，组织参观廉政教育基地1次，观看警示教育片1部，策划1期“爱廉说”访谈栏目，举办“清廉金融文化微课堂”巡讲活动1期，用身边事教育身边人，引导干部知敬畏、存戒惧、守底线；同时挖掘宣传廉洁履职先进典型2人，发挥正向引领作用，推动形成崇廉尚洁、实干担当的浓厚氛围。</w:t>
      </w:r>
    </w:p>
    <w:p>
      <w:pPr>
        <w:keepNext w:val="0"/>
        <w:keepLines w:val="0"/>
        <w:pageBreakBefore w:val="0"/>
        <w:kinsoku/>
        <w:wordWrap/>
        <w:overflowPunct/>
        <w:topLinePunct w:val="0"/>
        <w:autoSpaceDE/>
        <w:autoSpaceDN/>
        <w:bidi w:val="0"/>
        <w:adjustRightInd/>
        <w:snapToGrid/>
        <w:spacing w:line="540" w:lineRule="exact"/>
        <w:ind w:right="0" w:firstLine="643"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b/>
          <w:sz w:val="32"/>
          <w:szCs w:val="32"/>
        </w:rPr>
        <w:t>4.法律风险管控得力。</w:t>
      </w:r>
      <w:r>
        <w:rPr>
          <w:rFonts w:hint="eastAsia" w:ascii="仿宋_GB2312" w:hAnsi="仿宋_GB2312" w:eastAsia="仿宋_GB2312" w:cs="仿宋_GB2312"/>
          <w:sz w:val="32"/>
          <w:szCs w:val="32"/>
        </w:rPr>
        <w:t>一是充分发挥法律对业务的支撑保障力度。做实法律合规审查，确保各项合同文件符合法律法规要求；二是在做好合同文本、制度流程修订的基础上，继续跟踪落实最新司法解释精神，对可能对本行产生不利影响的做好提前应对工作；三是积极应对司法诉讼，保障债权收回。报告期内我行无被诉案件，新增主诉案件167件、新增金额3113.06万元，其中新增500万以上案件0件，借款合同纠纷件数167件、借款合同纠纷金额3113.06万元，信用卡纠纷件数0件，侵权纠纷件数0件，其它类型纠纷件数0件，败诉案件件数0件。</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三、流动性风险管理。</w:t>
      </w:r>
      <w:r>
        <w:rPr>
          <w:rFonts w:hint="eastAsia" w:ascii="仿宋_GB2312" w:hAnsi="仿宋_GB2312" w:eastAsia="仿宋_GB2312" w:cs="仿宋_GB2312"/>
          <w:sz w:val="32"/>
          <w:szCs w:val="32"/>
        </w:rPr>
        <w:t>截至2025年12月末，我行流动性比例44.67%，比年初增加1.31个百分点，优于监管要求19.67个百分点；优质流动性资产充足率389.56%，比年初增加146.16个百分点，优于监管要求289.56个百分点；流动性匹配率155.35%，比年初减少3.29个百分点，比监管要求高出55.35个百分点；流动性缺口率-9.34%，比年初下降2.97个百分点，高于监管要求0.66个百分点；核心负债依存度67.77%，比年初下降1.32个百分点，优于监管要求7.77个百分点。上述各项流动性风险指标达标情况良好，风险总体风险可控。流动性缺口率存在潜在风险。截至2025年12月末，我行7天、30天缺口率分别为-24.23%和-33.46%，低于监管-10%标准，存在一定的流动性风险隐患，反映我行短期资产负债错配，到期负债较多，对此持续监测关注，加强资产负债配置合理管控和优化。</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Style w:val="18"/>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四、市场风险管理。</w:t>
      </w:r>
      <w:r>
        <w:rPr>
          <w:rFonts w:hint="eastAsia" w:ascii="仿宋_GB2312" w:hAnsi="仿宋_GB2312" w:eastAsia="仿宋_GB2312" w:cs="仿宋_GB2312"/>
          <w:sz w:val="32"/>
          <w:szCs w:val="32"/>
        </w:rPr>
        <w:t>2025年度，我行在风险可控的前提下，稳妥开展资金业务，截至12月末，资金业务资产</w:t>
      </w:r>
      <w:r>
        <w:rPr>
          <w:rFonts w:hint="eastAsia" w:ascii="仿宋_GB2312" w:hAnsi="仿宋_GB2312" w:eastAsia="仿宋_GB2312" w:cs="仿宋_GB2312"/>
          <w:bCs/>
          <w:sz w:val="32"/>
          <w:szCs w:val="32"/>
        </w:rPr>
        <w:t>总额176.60亿元，比年初增加29.90亿元，增幅20.38%。占全行资产总额的31.32%，同比增加2.76个百分点。</w:t>
      </w:r>
      <w:r>
        <w:rPr>
          <w:rFonts w:hint="eastAsia" w:ascii="仿宋_GB2312" w:hAnsi="仿宋_GB2312" w:eastAsia="仿宋_GB2312" w:cs="仿宋_GB2312"/>
          <w:sz w:val="32"/>
          <w:szCs w:val="32"/>
        </w:rPr>
        <w:t>无理财业务。无结构性存款业务。无资管产品投资。</w:t>
      </w:r>
      <w:r>
        <w:rPr>
          <w:rFonts w:hint="eastAsia" w:ascii="仿宋_GB2312" w:hAnsi="仿宋_GB2312" w:eastAsia="仿宋_GB2312" w:cs="仿宋_GB2312"/>
          <w:color w:val="000000" w:themeColor="text1"/>
          <w:sz w:val="32"/>
          <w:szCs w:val="32"/>
          <w14:textFill>
            <w14:solidFill>
              <w14:schemeClr w14:val="tx1"/>
            </w14:solidFill>
          </w14:textFill>
        </w:rPr>
        <w:t>无衍生品业务。</w:t>
      </w:r>
      <w:r>
        <w:rPr>
          <w:rFonts w:hint="eastAsia" w:ascii="仿宋_GB2312" w:hAnsi="仿宋_GB2312" w:eastAsia="仿宋_GB2312" w:cs="仿宋_GB2312"/>
          <w:sz w:val="32"/>
          <w:szCs w:val="32"/>
        </w:rPr>
        <w:t>其中: 债券投资余额102.24亿元，比年初增加11.20亿元，增幅12.3%，加权平均久期4.89年。资金业务负债总额23.6亿元，比年初增加1.43亿元。季末资金杠杆倍数1.19。2025年12月末，我行三类账户中无交易账户债券投资；可供账户债券投资账面余额140274.54万元，平均久期5.84，浮亏520.91万元，浮亏比例-0.37%；持有至到期账户债券投资余额882097.75万元，平均久期4.74，浮盈2962.83万元，浮盈比例0.34%。单券浮亏比例超过3%：债券名称25江苏债37，账户类别持有至到期账户，购置日期2025年7月28日，剩余期限19.5726年，浮亏100.19万元，浮亏比例-5.01%。无单券浮亏比例超1000万元。</w:t>
      </w:r>
      <w:r>
        <w:rPr>
          <w:rFonts w:hint="eastAsia" w:ascii="仿宋_GB2312" w:hAnsi="仿宋_GB2312" w:eastAsia="仿宋_GB2312" w:cs="仿宋_GB2312"/>
          <w:b/>
          <w:sz w:val="32"/>
          <w:szCs w:val="32"/>
        </w:rPr>
        <w:t>重点开展以下工作：</w:t>
      </w:r>
      <w:r>
        <w:rPr>
          <w:rFonts w:hint="eastAsia" w:ascii="仿宋_GB2312" w:hAnsi="仿宋_GB2312" w:eastAsia="仿宋_GB2312" w:cs="仿宋_GB2312"/>
          <w:b/>
          <w:bCs/>
          <w:sz w:val="32"/>
          <w:szCs w:val="32"/>
        </w:rPr>
        <w:t>一是减持部分债券，实现浮盈落袋为安。</w:t>
      </w:r>
      <w:r>
        <w:rPr>
          <w:rFonts w:hint="eastAsia" w:ascii="仿宋_GB2312" w:hAnsi="仿宋_GB2312" w:eastAsia="仿宋_GB2312" w:cs="仿宋_GB2312"/>
          <w:sz w:val="32"/>
          <w:szCs w:val="32"/>
        </w:rPr>
        <w:t>今年以来，为提升资金业务对全行的贡献度，逐步卖出了部分债券，全年累计实现资本利得收入6853.26万元，同比增加1570.24万元，增幅29.72%，有效补充了全行收入。</w:t>
      </w:r>
      <w:r>
        <w:rPr>
          <w:rFonts w:hint="eastAsia" w:ascii="仿宋_GB2312" w:hAnsi="仿宋_GB2312" w:eastAsia="仿宋_GB2312" w:cs="仿宋_GB2312"/>
          <w:b/>
          <w:sz w:val="32"/>
          <w:szCs w:val="32"/>
        </w:rPr>
        <w:t>二是严控交易对手违约风险。</w:t>
      </w:r>
      <w:r>
        <w:rPr>
          <w:rFonts w:hint="eastAsia" w:ascii="仿宋_GB2312" w:hAnsi="仿宋_GB2312" w:eastAsia="仿宋_GB2312" w:cs="仿宋_GB2312"/>
          <w:sz w:val="32"/>
          <w:szCs w:val="32"/>
        </w:rPr>
        <w:t>严控信用风险。坚持将资金安全放在首位，严格落实省联合银行下发的关注类和观察类同业交易对手名单相关要求，交易对手主要以全国性、A股上市、监管评级高以及江浙沪地区同业机构为主。</w:t>
      </w:r>
      <w:r>
        <w:rPr>
          <w:rFonts w:hint="eastAsia" w:ascii="仿宋_GB2312" w:hAnsi="仿宋_GB2312" w:eastAsia="仿宋_GB2312" w:cs="仿宋_GB2312"/>
          <w:b/>
          <w:sz w:val="32"/>
          <w:szCs w:val="32"/>
        </w:rPr>
        <w:t>三是加强风险偏好与限额管控。</w:t>
      </w:r>
      <w:r>
        <w:rPr>
          <w:rFonts w:hint="eastAsia" w:ascii="仿宋_GB2312" w:hAnsi="仿宋_GB2312" w:eastAsia="仿宋_GB2312" w:cs="仿宋_GB2312"/>
          <w:sz w:val="32"/>
          <w:szCs w:val="32"/>
        </w:rPr>
        <w:t>依托省联社风险与限额管理系统和统一授信管理系统，结合实际情况，合理设置参数，对各项监管指标和风险限额指标进行实时监测，规范资金业务限额管理，切实防范各类风险。已建立包括交易限额、敏感性限额、止损限额在内的全面限额体系，在业务开展过程中严格执行，报告期末7日内到期的资产与同业负债缺口率1.37%，低于预警值（2%）触发预警，我行已落实相关化解措施要求资金市场部加强与计划财务部对接，强化日常监测，提前测算，优化同业负债结构。其他指标报告期内未发现脱偏、超限额等情况，如后续有发现将及时预警。</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五、信息科技风险管理。</w:t>
      </w:r>
      <w:r>
        <w:rPr>
          <w:rFonts w:hint="eastAsia" w:ascii="仿宋_GB2312" w:hAnsi="仿宋_GB2312" w:eastAsia="仿宋_GB2312" w:cs="仿宋_GB2312"/>
          <w:sz w:val="32"/>
          <w:szCs w:val="32"/>
        </w:rPr>
        <w:t>报告期内，我行积极开展信息科技安全与风险管理，</w:t>
      </w:r>
      <w:r>
        <w:rPr>
          <w:rFonts w:hint="eastAsia" w:ascii="仿宋_GB2312" w:hAnsi="仿宋_GB2312" w:eastAsia="仿宋_GB2312" w:cs="仿宋_GB2312"/>
          <w:bCs/>
          <w:color w:val="000000"/>
          <w:sz w:val="32"/>
          <w:szCs w:val="32"/>
        </w:rPr>
        <w:t>主要围绕重保、网络安全意识提升、网络标准化等方面开展工作。</w:t>
      </w:r>
      <w:r>
        <w:rPr>
          <w:rFonts w:hint="eastAsia" w:ascii="仿宋_GB2312" w:hAnsi="仿宋_GB2312" w:eastAsia="仿宋_GB2312" w:cs="仿宋_GB2312"/>
          <w:b/>
          <w:color w:val="000000"/>
          <w:sz w:val="32"/>
          <w:szCs w:val="32"/>
        </w:rPr>
        <w:t>一</w:t>
      </w:r>
      <w:r>
        <w:rPr>
          <w:rFonts w:hint="eastAsia" w:ascii="仿宋_GB2312" w:hAnsi="仿宋_GB2312" w:eastAsia="仿宋_GB2312" w:cs="仿宋_GB2312"/>
          <w:b/>
          <w:color w:val="000000"/>
          <w:sz w:val="32"/>
          <w:szCs w:val="32"/>
          <w:lang w:bidi="ar"/>
        </w:rPr>
        <w:t>是</w:t>
      </w:r>
      <w:r>
        <w:rPr>
          <w:rFonts w:hint="eastAsia" w:ascii="仿宋_GB2312" w:hAnsi="仿宋_GB2312" w:eastAsia="仿宋_GB2312" w:cs="仿宋_GB2312"/>
          <w:color w:val="000000"/>
          <w:sz w:val="32"/>
          <w:szCs w:val="32"/>
          <w:lang w:bidi="ar"/>
        </w:rPr>
        <w:t>网络边界策略优化</w:t>
      </w:r>
      <w:r>
        <w:rPr>
          <w:rFonts w:hint="eastAsia" w:ascii="仿宋_GB2312" w:hAnsi="仿宋_GB2312" w:eastAsia="仿宋_GB2312" w:cs="仿宋_GB2312"/>
          <w:bCs/>
          <w:color w:val="000000"/>
          <w:sz w:val="32"/>
          <w:szCs w:val="32"/>
          <w:lang w:bidi="ar"/>
        </w:rPr>
        <w:t>。梳理优化网络拓扑及边界策略（外联防火墙、核心交换机），网点交换机纳入网管并网络标准化材料完善，涵盖网络拓扑架构、IP地址台账、应急预案及演练手册等验收文档；</w:t>
      </w:r>
      <w:r>
        <w:rPr>
          <w:rFonts w:hint="eastAsia" w:ascii="仿宋_GB2312" w:hAnsi="仿宋_GB2312" w:eastAsia="仿宋_GB2312" w:cs="仿宋_GB2312"/>
          <w:b/>
          <w:sz w:val="32"/>
          <w:szCs w:val="32"/>
          <w:lang w:bidi="ar"/>
        </w:rPr>
        <w:t>二是</w:t>
      </w:r>
      <w:r>
        <w:rPr>
          <w:rFonts w:hint="eastAsia" w:ascii="仿宋_GB2312" w:hAnsi="仿宋_GB2312" w:eastAsia="仿宋_GB2312" w:cs="仿宋_GB2312"/>
          <w:bCs/>
          <w:sz w:val="32"/>
          <w:szCs w:val="32"/>
          <w:lang w:bidi="ar"/>
        </w:rPr>
        <w:t>完成花香E支付公安备案，完成互联网资产全面渗透及场景项目等保测评工作；</w:t>
      </w:r>
      <w:r>
        <w:rPr>
          <w:rFonts w:hint="eastAsia" w:ascii="仿宋_GB2312" w:hAnsi="仿宋_GB2312" w:eastAsia="仿宋_GB2312" w:cs="仿宋_GB2312"/>
          <w:b/>
          <w:color w:val="000000"/>
          <w:sz w:val="32"/>
          <w:szCs w:val="32"/>
          <w:lang w:bidi="ar"/>
        </w:rPr>
        <w:t>三是</w:t>
      </w:r>
      <w:r>
        <w:rPr>
          <w:rFonts w:hint="eastAsia" w:ascii="仿宋_GB2312" w:hAnsi="仿宋_GB2312" w:eastAsia="仿宋_GB2312" w:cs="仿宋_GB2312"/>
          <w:bCs/>
          <w:color w:val="000000"/>
          <w:sz w:val="32"/>
          <w:szCs w:val="32"/>
          <w:lang w:bidi="ar"/>
        </w:rPr>
        <w:t>云主机漏洞修复</w:t>
      </w:r>
      <w:r>
        <w:rPr>
          <w:rFonts w:hint="eastAsia" w:ascii="仿宋_GB2312" w:hAnsi="仿宋_GB2312" w:eastAsia="仿宋_GB2312" w:cs="仿宋_GB2312"/>
          <w:b/>
          <w:color w:val="000000"/>
          <w:sz w:val="32"/>
          <w:szCs w:val="32"/>
          <w:lang w:bidi="ar"/>
        </w:rPr>
        <w:t>。</w:t>
      </w:r>
      <w:r>
        <w:rPr>
          <w:rFonts w:hint="eastAsia" w:ascii="仿宋_GB2312" w:hAnsi="仿宋_GB2312" w:eastAsia="仿宋_GB2312" w:cs="仿宋_GB2312"/>
          <w:bCs/>
          <w:color w:val="000000"/>
          <w:sz w:val="32"/>
          <w:szCs w:val="32"/>
          <w:lang w:bidi="ar"/>
        </w:rPr>
        <w:t>对全行 259台云主机（Linux 236 台、Windows 23 台）深度扫描，发现917个系统漏洞，本季度修复高危漏洞93 个，修复率100%；中低危漏洞824个，修复率92%。</w:t>
      </w:r>
      <w:r>
        <w:rPr>
          <w:rFonts w:hint="eastAsia" w:ascii="仿宋_GB2312" w:hAnsi="仿宋_GB2312" w:eastAsia="仿宋_GB2312" w:cs="仿宋_GB2312"/>
          <w:b/>
          <w:color w:val="000000"/>
          <w:sz w:val="32"/>
          <w:szCs w:val="32"/>
          <w:lang w:bidi="ar"/>
        </w:rPr>
        <w:t>四是</w:t>
      </w:r>
      <w:r>
        <w:rPr>
          <w:rFonts w:hint="eastAsia" w:ascii="仿宋_GB2312" w:hAnsi="仿宋_GB2312" w:eastAsia="仿宋_GB2312" w:cs="仿宋_GB2312"/>
          <w:bCs/>
          <w:color w:val="000000"/>
          <w:sz w:val="32"/>
          <w:szCs w:val="32"/>
          <w:lang w:bidi="ar"/>
        </w:rPr>
        <w:t>病毒溯源，制定应急处置方案：网络边界收紧、云主机window、高危端口二级管控；</w:t>
      </w:r>
      <w:r>
        <w:rPr>
          <w:rFonts w:hint="eastAsia" w:ascii="仿宋_GB2312" w:hAnsi="仿宋_GB2312" w:eastAsia="仿宋_GB2312" w:cs="仿宋_GB2312"/>
          <w:b/>
          <w:color w:val="000000"/>
          <w:sz w:val="32"/>
          <w:szCs w:val="32"/>
          <w:lang w:bidi="ar"/>
        </w:rPr>
        <w:t>五是</w:t>
      </w:r>
      <w:r>
        <w:rPr>
          <w:rFonts w:hint="eastAsia" w:ascii="仿宋_GB2312" w:hAnsi="仿宋_GB2312" w:eastAsia="仿宋_GB2312" w:cs="仿宋_GB2312"/>
          <w:bCs/>
          <w:color w:val="000000"/>
          <w:sz w:val="32"/>
          <w:szCs w:val="32"/>
          <w:lang w:bidi="ar"/>
        </w:rPr>
        <w:t>网络运行管理，</w:t>
      </w:r>
      <w:r>
        <w:rPr>
          <w:rFonts w:hint="eastAsia" w:ascii="仿宋_GB2312" w:hAnsi="仿宋_GB2312" w:eastAsia="仿宋_GB2312" w:cs="仿宋_GB2312"/>
          <w:bCs/>
          <w:sz w:val="32"/>
          <w:szCs w:val="32"/>
          <w:lang w:bidi="ar"/>
        </w:rPr>
        <w:t>完成支付平台数据库迁移网络改造、水厂支付系统网络架构优化；将运营小助手、银E厅小程序域名解析服务平滑迁移至联合银行DNS平台。</w:t>
      </w:r>
      <w:r>
        <w:rPr>
          <w:rFonts w:hint="eastAsia" w:ascii="仿宋_GB2312" w:hAnsi="仿宋_GB2312" w:eastAsia="仿宋_GB2312" w:cs="仿宋_GB2312"/>
          <w:b/>
          <w:sz w:val="32"/>
          <w:szCs w:val="32"/>
          <w:lang w:bidi="ar"/>
        </w:rPr>
        <w:t>六是</w:t>
      </w:r>
      <w:r>
        <w:rPr>
          <w:rFonts w:hint="eastAsia" w:ascii="仿宋_GB2312" w:hAnsi="仿宋_GB2312" w:eastAsia="仿宋_GB2312" w:cs="仿宋_GB2312"/>
          <w:bCs/>
          <w:sz w:val="32"/>
          <w:szCs w:val="32"/>
          <w:lang w:bidi="ar"/>
        </w:rPr>
        <w:t>部署安装上联防火墙并逐步增加策略；</w:t>
      </w:r>
      <w:r>
        <w:rPr>
          <w:rFonts w:hint="eastAsia" w:ascii="仿宋_GB2312" w:hAnsi="仿宋_GB2312" w:eastAsia="仿宋_GB2312" w:cs="仿宋_GB2312"/>
          <w:bCs/>
          <w:color w:val="000000"/>
          <w:sz w:val="32"/>
          <w:szCs w:val="32"/>
          <w:lang w:bidi="ar"/>
        </w:rPr>
        <w:t>七</w:t>
      </w:r>
      <w:r>
        <w:rPr>
          <w:rFonts w:hint="eastAsia" w:ascii="仿宋_GB2312" w:hAnsi="仿宋_GB2312" w:eastAsia="仿宋_GB2312" w:cs="仿宋_GB2312"/>
          <w:b/>
          <w:color w:val="000000"/>
          <w:sz w:val="32"/>
          <w:szCs w:val="32"/>
          <w:lang w:bidi="ar"/>
        </w:rPr>
        <w:t>是</w:t>
      </w:r>
      <w:r>
        <w:rPr>
          <w:rFonts w:hint="eastAsia" w:ascii="仿宋_GB2312" w:hAnsi="仿宋_GB2312" w:eastAsia="仿宋_GB2312" w:cs="仿宋_GB2312"/>
          <w:bCs/>
          <w:sz w:val="32"/>
          <w:szCs w:val="32"/>
          <w:lang w:bidi="ar"/>
        </w:rPr>
        <w:t>支付平台数据库迁移网络、中医院支付迁移至省联社网络；</w:t>
      </w:r>
      <w:r>
        <w:rPr>
          <w:rFonts w:hint="eastAsia" w:ascii="仿宋_GB2312" w:hAnsi="仿宋_GB2312" w:eastAsia="仿宋_GB2312" w:cs="仿宋_GB2312"/>
          <w:b/>
          <w:sz w:val="32"/>
          <w:szCs w:val="32"/>
          <w:lang w:bidi="ar"/>
        </w:rPr>
        <w:t>八是</w:t>
      </w:r>
      <w:r>
        <w:rPr>
          <w:rFonts w:hint="eastAsia" w:ascii="仿宋_GB2312" w:hAnsi="仿宋_GB2312" w:eastAsia="仿宋_GB2312" w:cs="仿宋_GB2312"/>
          <w:bCs/>
          <w:sz w:val="32"/>
          <w:szCs w:val="32"/>
          <w:lang w:bidi="ar"/>
        </w:rPr>
        <w:t>完成网络标准化和互联网上收等验收工作</w:t>
      </w:r>
      <w:r>
        <w:rPr>
          <w:rFonts w:hint="eastAsia" w:ascii="仿宋_GB2312" w:hAnsi="仿宋_GB2312" w:eastAsia="仿宋_GB2312" w:cs="仿宋_GB2312"/>
          <w:b/>
          <w:sz w:val="32"/>
          <w:szCs w:val="32"/>
          <w:lang w:bidi="ar"/>
        </w:rPr>
        <w:t>；九是</w:t>
      </w:r>
      <w:r>
        <w:rPr>
          <w:rFonts w:hint="eastAsia" w:ascii="仿宋_GB2312" w:hAnsi="仿宋_GB2312" w:eastAsia="仿宋_GB2312" w:cs="仿宋_GB2312"/>
          <w:bCs/>
          <w:sz w:val="32"/>
          <w:szCs w:val="32"/>
          <w:lang w:bidi="ar"/>
        </w:rPr>
        <w:t>强化应急演练。根据联合银行突发事件应急处理要求，强化应急演练，组织供电故障、零售平台主备切换、数据备份恢复、上联线路主备切换等应急切换。通过常态化演练及经验总结，有效提升应急处置能力</w:t>
      </w:r>
      <w:r>
        <w:rPr>
          <w:rFonts w:hint="eastAsia" w:ascii="仿宋_GB2312" w:hAnsi="仿宋_GB2312" w:eastAsia="仿宋_GB2312" w:cs="仿宋_GB2312"/>
          <w:bCs/>
          <w:color w:val="000000"/>
          <w:sz w:val="32"/>
          <w:szCs w:val="32"/>
        </w:rPr>
        <w:t>。报告期内</w:t>
      </w:r>
      <w:r>
        <w:rPr>
          <w:rFonts w:hint="eastAsia" w:ascii="仿宋_GB2312" w:hAnsi="仿宋_GB2312" w:eastAsia="仿宋_GB2312" w:cs="仿宋_GB2312"/>
          <w:sz w:val="32"/>
          <w:szCs w:val="32"/>
        </w:rPr>
        <w:t>未发生影响业务经营稳健运营的系统中断、信息泄露等信息科技风险事件。</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六、声誉风险管理。</w:t>
      </w:r>
      <w:bookmarkStart w:id="14" w:name="_Hlk108282777"/>
      <w:r>
        <w:rPr>
          <w:rFonts w:hint="eastAsia" w:ascii="仿宋_GB2312" w:hAnsi="仿宋_GB2312" w:eastAsia="仿宋_GB2312" w:cs="仿宋_GB2312"/>
          <w:sz w:val="32"/>
          <w:szCs w:val="32"/>
        </w:rPr>
        <w:t>报告期内，</w:t>
      </w:r>
      <w:bookmarkEnd w:id="14"/>
      <w:r>
        <w:rPr>
          <w:rFonts w:hint="eastAsia" w:ascii="仿宋_GB2312" w:hAnsi="仿宋_GB2312" w:eastAsia="仿宋_GB2312" w:cs="仿宋_GB2312"/>
          <w:sz w:val="32"/>
          <w:szCs w:val="32"/>
        </w:rPr>
        <w:t>我行</w:t>
      </w:r>
      <w:r>
        <w:rPr>
          <w:rFonts w:hint="eastAsia" w:ascii="仿宋_GB2312" w:hAnsi="仿宋_GB2312" w:eastAsia="仿宋_GB2312" w:cs="仿宋_GB2312"/>
          <w:bCs/>
          <w:sz w:val="32"/>
          <w:szCs w:val="32"/>
        </w:rPr>
        <w:t>严格舆情管控，坚持将声誉风险管理谋在细处、抓在实处，聚焦12345热线、省联社96008客服等渠道，突出抓好舆情管理，充分利用第三方渠道，实施大数据实时筛查，针对年末出现的敏感负面舆情，积极与县网信办、公安局通力合作，组织舆情管理小组第一时间举报、删帖，成功控制舆情发酵，当年</w:t>
      </w:r>
      <w:r>
        <w:rPr>
          <w:rFonts w:hint="eastAsia" w:ascii="仿宋_GB2312" w:hAnsi="仿宋_GB2312" w:eastAsia="仿宋_GB2312" w:cs="仿宋_GB2312"/>
          <w:sz w:val="32"/>
          <w:szCs w:val="32"/>
        </w:rPr>
        <w:t>未发生影响业务经营稳健运行的重大声誉风险事件。</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七、战略风险管理。</w:t>
      </w:r>
      <w:r>
        <w:rPr>
          <w:rFonts w:hint="eastAsia" w:ascii="仿宋_GB2312" w:hAnsi="仿宋_GB2312" w:eastAsia="仿宋_GB2312" w:cs="仿宋_GB2312"/>
          <w:bCs/>
          <w:sz w:val="32"/>
          <w:szCs w:val="32"/>
        </w:rPr>
        <w:t>2025年度，我行围绕战略规划落实，强化重点目标的监测，不断完善战略规划执行。强化战略管理意识，按照战略规划管理办法、战略规划实施细则，结合前期制定的战略管理实施方案，将战略管理融入到经营管理中去，解决“两层皮”的问题。一是关注本行日常经营的数据，监测、汇总各项经营指标、监管指标情况，掌握战略目标的完成进度，对长期未完成的战略指标进行反馈，为以后战略规划调整提供依据；二是通过对部门上报的工作措施，借力宣督部门，及时了解目标任务、时序进度、责任部门的完成情况，通过相关部门反馈情况，及时完善战略规划方案；三是完成监事会改革。持续落实深化国有金融企业实施方案要求，在江苏农商联合银行和主发起行的指导下，制定了监事会改革方案，召开股东会、董事，审议了相关议案，并将修改好的章程报金融监管部门审批后及时到市场监督管理部门进行了备案，目前已改革到位。</w:t>
      </w: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right="0" w:firstLine="643" w:firstLineChars="200"/>
        <w:jc w:val="left"/>
        <w:textAlignment w:val="auto"/>
        <w:rPr>
          <w:rFonts w:hint="eastAsia" w:ascii="仿宋_GB2312" w:hAnsi="仿宋_GB2312" w:eastAsia="仿宋_GB2312" w:cs="仿宋_GB2312"/>
          <w:bCs/>
          <w:sz w:val="32"/>
          <w:szCs w:val="32"/>
        </w:rPr>
      </w:pPr>
      <w:r>
        <w:rPr>
          <w:rStyle w:val="18"/>
          <w:rFonts w:hint="eastAsia" w:ascii="仿宋_GB2312" w:hAnsi="仿宋_GB2312" w:eastAsia="仿宋_GB2312" w:cs="仿宋_GB2312"/>
          <w:color w:val="333333"/>
          <w:sz w:val="32"/>
          <w:szCs w:val="32"/>
        </w:rPr>
        <w:t>八、反洗钱风险管理。</w:t>
      </w:r>
      <w:r>
        <w:rPr>
          <w:rFonts w:hint="eastAsia" w:ascii="仿宋_GB2312" w:hAnsi="仿宋_GB2312" w:eastAsia="仿宋_GB2312" w:cs="仿宋_GB2312"/>
          <w:bCs/>
          <w:sz w:val="32"/>
          <w:szCs w:val="32"/>
        </w:rPr>
        <w:t>一是强化会议机制作用。2025年组织召开四次反洗钱领导小组联席会议，剖析反洗钱存在问题，解决面临的困难，督促各部门加强反洗钱联动配合，紧密协作，提升反洗钱工作效能。二是及时开展洗钱风险评估。年度内组织各部门分别对“跨境人民币”等9项外汇业务、“同业借款业务”、“易税贷”“沭融贷”等10项信贷产品新业务进行洗钱风险评估，及时掌握新产品面临的洗钱风险状况。三是深入开展数据治理。组织网点完成联合银行下发存量个人客户九要素信息不规范整改率100%，未整改部分做到100%管控。四是开展内部检查。稽核审计部开展反洗钱内部审计工作，反洗钱牵头部门组织各业务部门开展内部洗钱风险自查，组织条线人员对全行反洗钱工作开展全面检查，查漏补缺。五是开展反洗钱宣传与培训。结合重要时间节点，围绕“遵守新法规，远离洗钱风险”“老人防骗要牢记，子女关心多提醒！”等宣传主题，通过制作音频与实地宣传相结合的方式落实反洗钱新法宣传工作。围绕反洗钱新法新政有效履职内控机制、风险管理、持续尽职调查、高风险客户管控实务、受益所有人穿透识别实务等内容开展覆盖董监高、业务部门、基层员工及专职人员的多层次反洗钱培训工作，深化全行员工对洗钱风险的认识。2025年累计开展反洗钱业务培训7次，参与人次837人，覆盖全行员工。</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left="640" w:leftChars="305" w:right="0" w:firstLine="0" w:firstLineChars="0"/>
        <w:textAlignment w:val="auto"/>
        <w:rPr>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九、风险控制情况</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Style w:val="18"/>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（二）风险管理政策和程序</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我行已制定包括信用风险、操作风险、市场风险、流动性风险、声誉风险、信用科技风险等主要类别风险管理策略文件，明确各类风险识别、计量、监测、缓释的方法、工具和管理要求等，能够有效评估和管理各类风险。已建立了统一的覆盖各业务条线和分支机构的风险报告制度，明确相应的职责、路线、频率、时间和质量要求。按季开展风险管理综合分析评估，包括主要风险管理现状、存在问题和原因分析、下一步工作打算等，分析评估报告上报高级管理层和董事会审议。</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3" w:firstLineChars="200"/>
        <w:textAlignment w:val="auto"/>
        <w:rPr>
          <w:rStyle w:val="18"/>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（三）风险计量、监测和管理信息系统</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我行已有效推广应用省联社客户风险预警等风险管理相关系统，并通过本行信贷运营管理系统密切监测分析重点领域信用风险的生成和迁徙变化情况，能够有效开展信用风险识别、监测、计量工作，摸清信用风险底数，有效开展信用风险防控。在省联社预警系统数据的基础上，我行已将银监会披露负面清单、征信负面信息、涉刑涉诉等数据优化导入我行数据库，应用在授信季年检、授信准入、用信监测上，增加信息对称性，为信用风险管控提供了进一步的科技支撑。</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left="640" w:leftChars="305" w:right="0" w:firstLine="0" w:firstLineChars="0"/>
        <w:textAlignment w:val="auto"/>
        <w:rPr>
          <w:rFonts w:hint="eastAsia" w:ascii="仿宋_GB2312" w:hAnsi="仿宋_GB2312" w:eastAsia="仿宋_GB2312" w:cs="仿宋_GB2312"/>
          <w:color w:val="333333"/>
          <w:sz w:val="32"/>
          <w:szCs w:val="32"/>
        </w:rPr>
      </w:pPr>
      <w:r>
        <w:rPr>
          <w:rStyle w:val="18"/>
          <w:rFonts w:hint="eastAsia" w:ascii="仿宋_GB2312" w:hAnsi="仿宋_GB2312" w:eastAsia="仿宋_GB2312" w:cs="仿宋_GB2312"/>
          <w:color w:val="333333"/>
          <w:sz w:val="32"/>
          <w:szCs w:val="32"/>
        </w:rPr>
        <w:t>十、采用的风险评估及计量方法。</w:t>
      </w:r>
    </w:p>
    <w:p>
      <w:pPr>
        <w:pStyle w:val="13"/>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333333"/>
          <w:sz w:val="32"/>
          <w:szCs w:val="32"/>
        </w:rPr>
        <w:t>我行防范风险和管理风险的方法以定性分析为主、定量为辅，精确有效的计量工具和模型有待进一步加强，风险识别、计量、监测等技术水平有待进一步提高。</w:t>
      </w:r>
    </w:p>
    <w:p>
      <w:pPr>
        <w:spacing w:line="560" w:lineRule="exact"/>
        <w:ind w:firstLine="1280" w:firstLineChars="400"/>
        <w:jc w:val="both"/>
        <w:outlineLvl w:val="0"/>
        <w:rPr>
          <w:rFonts w:hint="eastAsia" w:ascii="黑体" w:hAnsi="黑体" w:eastAsia="黑体"/>
          <w:sz w:val="32"/>
          <w:szCs w:val="32"/>
        </w:rPr>
      </w:pPr>
    </w:p>
    <w:p>
      <w:pPr>
        <w:spacing w:line="560" w:lineRule="exact"/>
        <w:ind w:firstLine="1280" w:firstLineChars="400"/>
        <w:jc w:val="both"/>
        <w:outlineLvl w:val="0"/>
        <w:rPr>
          <w:rFonts w:hint="eastAsia" w:ascii="黑体" w:hAnsi="黑体" w:eastAsia="黑体"/>
          <w:b/>
          <w:bCs/>
          <w:color w:val="000000" w:themeColor="text1"/>
          <w:sz w:val="32"/>
          <w:szCs w:val="32"/>
          <w:lang w:eastAsia="zh-CN"/>
          <w14:textFill>
            <w14:solidFill>
              <w14:schemeClr w14:val="tx1"/>
            </w14:solidFill>
          </w14:textFill>
        </w:rPr>
      </w:pPr>
      <w:r>
        <w:rPr>
          <w:rFonts w:hint="eastAsia" w:ascii="黑体" w:hAnsi="黑体" w:eastAsia="黑体"/>
          <w:sz w:val="32"/>
          <w:szCs w:val="32"/>
        </w:rPr>
        <w:t>第</w:t>
      </w:r>
      <w:r>
        <w:rPr>
          <w:rFonts w:ascii="黑体" w:hAnsi="黑体" w:eastAsia="黑体"/>
          <w:sz w:val="32"/>
          <w:szCs w:val="32"/>
        </w:rPr>
        <w:t>八节</w:t>
      </w:r>
      <w:r>
        <w:rPr>
          <w:rFonts w:hint="eastAsia" w:ascii="黑体" w:hAnsi="黑体" w:eastAsia="黑体"/>
          <w:sz w:val="32"/>
          <w:szCs w:val="32"/>
        </w:rPr>
        <w:t xml:space="preserve"> 消费者权益保护工作开展情况</w:t>
      </w:r>
      <w:r>
        <w:rPr>
          <w:rFonts w:hint="eastAsia" w:ascii="黑体" w:hAnsi="黑体" w:eastAsia="黑体"/>
          <w:b/>
          <w:bCs/>
          <w:color w:val="000000" w:themeColor="text1"/>
          <w:sz w:val="32"/>
          <w:szCs w:val="32"/>
          <w14:textFill>
            <w14:solidFill>
              <w14:schemeClr w14:val="tx1"/>
            </w14:solidFill>
          </w14:textFill>
        </w:rPr>
        <w:t xml:space="preserve"> </w:t>
      </w:r>
    </w:p>
    <w:bookmarkEnd w:id="11"/>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kern w:val="2"/>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rPr>
        <w:t>机制建设持续完善。</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持续构建消费者权益保护工作管理体系。在年初结合日常工作实际，对消费者权益保护工作领导小组进行调整，形成合规管理部牵头、各业务条线、各支行协同配合、分工履职的消费者权益保护管理架构。并切实履行“消保一把手责任制”，开展“一把手”讲消保活动，深入践行金融工作的政治性、人民性，持续优化金融服务。同时，进一步理顺工作流程，明确工作职责，加强</w:t>
      </w:r>
      <w:r>
        <w:rPr>
          <w:rFonts w:hint="eastAsia" w:ascii="仿宋_GB2312" w:hAnsi="仿宋_GB2312" w:eastAsia="仿宋_GB2312" w:cs="仿宋_GB2312"/>
          <w:color w:val="000000"/>
          <w:sz w:val="32"/>
          <w:szCs w:val="32"/>
        </w:rPr>
        <w:t>沟通协作，形成了一套纵向到底、横向到边的立体式消费者权益保护管理体系。</w:t>
      </w:r>
      <w:r>
        <w:rPr>
          <w:rFonts w:hint="eastAsia" w:ascii="仿宋_GB2312" w:hAnsi="仿宋_GB2312" w:eastAsia="仿宋_GB2312" w:cs="仿宋_GB2312"/>
          <w:b/>
          <w:color w:val="000000"/>
          <w:sz w:val="32"/>
          <w:szCs w:val="32"/>
        </w:rPr>
        <w:t>二是</w:t>
      </w:r>
      <w:r>
        <w:rPr>
          <w:rFonts w:hint="eastAsia" w:ascii="仿宋_GB2312" w:hAnsi="仿宋_GB2312" w:eastAsia="仿宋_GB2312" w:cs="仿宋_GB2312"/>
          <w:color w:val="000000"/>
          <w:sz w:val="32"/>
          <w:szCs w:val="32"/>
        </w:rPr>
        <w:t>持续完善消保制度建设。为加强消费者权益保护工作管理，规范产品和服务消保审查工作程序，制定消费者权益保护审查制度，持续建立完善消保相关制度，切实维护消费者的合法权益。</w:t>
      </w:r>
      <w:r>
        <w:rPr>
          <w:rFonts w:hint="eastAsia" w:ascii="仿宋_GB2312" w:hAnsi="仿宋_GB2312" w:eastAsia="仿宋_GB2312" w:cs="仿宋_GB2312"/>
          <w:b/>
          <w:color w:val="000000"/>
          <w:sz w:val="32"/>
          <w:szCs w:val="32"/>
        </w:rPr>
        <w:t>三是</w:t>
      </w:r>
      <w:r>
        <w:rPr>
          <w:rFonts w:hint="eastAsia" w:ascii="仿宋_GB2312" w:hAnsi="仿宋_GB2312" w:eastAsia="仿宋_GB2312" w:cs="仿宋_GB2312"/>
          <w:color w:val="000000"/>
          <w:sz w:val="32"/>
          <w:szCs w:val="32"/>
        </w:rPr>
        <w:t>提升考核评价的推动作用，将各网点消保及客户投诉工作情况纳入绩效考核，按月考核兑现。</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lang w:val="en-US" w:eastAsia="zh-CN"/>
        </w:rPr>
        <w:t>二、</w:t>
      </w:r>
      <w:r>
        <w:rPr>
          <w:rFonts w:hint="eastAsia" w:ascii="仿宋_GB2312" w:hAnsi="仿宋_GB2312" w:eastAsia="仿宋_GB2312" w:cs="仿宋_GB2312"/>
          <w:b/>
          <w:bCs/>
          <w:color w:val="000000"/>
          <w:sz w:val="32"/>
          <w:szCs w:val="32"/>
        </w:rPr>
        <w:t>工作职能充分发挥。</w:t>
      </w:r>
      <w:r>
        <w:rPr>
          <w:rFonts w:hint="eastAsia" w:ascii="仿宋_GB2312" w:hAnsi="仿宋_GB2312" w:eastAsia="仿宋_GB2312" w:cs="仿宋_GB2312"/>
          <w:b/>
          <w:color w:val="000000"/>
          <w:sz w:val="32"/>
          <w:szCs w:val="32"/>
        </w:rPr>
        <w:t>一是</w:t>
      </w:r>
      <w:r>
        <w:rPr>
          <w:rFonts w:hint="eastAsia" w:ascii="仿宋_GB2312" w:hAnsi="仿宋_GB2312" w:eastAsia="仿宋_GB2312" w:cs="仿宋_GB2312"/>
          <w:color w:val="000000"/>
          <w:sz w:val="32"/>
          <w:szCs w:val="32"/>
        </w:rPr>
        <w:t>尽职履责，积极开展金融知识宣教活动。严格按照监管部门要求，组织开展“3·15”消保宣传周、金融教育宣传周、普及金融知识万里行等系列活动，践行以人民为中心的发展思想，建立健全消费者宣教机制，帮助金融消费者树牢风险防范意识、提高风险识别能力，提升了我行社会公众形象。</w:t>
      </w:r>
      <w:r>
        <w:rPr>
          <w:rFonts w:hint="eastAsia" w:ascii="仿宋_GB2312" w:hAnsi="仿宋_GB2312" w:eastAsia="仿宋_GB2312" w:cs="仿宋_GB2312"/>
          <w:b/>
          <w:color w:val="000000"/>
          <w:sz w:val="32"/>
          <w:szCs w:val="32"/>
        </w:rPr>
        <w:t>二是</w:t>
      </w:r>
      <w:r>
        <w:rPr>
          <w:rFonts w:hint="eastAsia" w:ascii="仿宋_GB2312" w:hAnsi="仿宋_GB2312" w:eastAsia="仿宋_GB2312" w:cs="仿宋_GB2312"/>
          <w:color w:val="000000"/>
          <w:sz w:val="32"/>
          <w:szCs w:val="32"/>
        </w:rPr>
        <w:t>紧跟政策，拓宽消费者权益保护审查广度。根据《消费者权益保护实施办法》规定，进一步前移消费者权益保护关口，提示各网点在开展业务宣传、办理业务等方面，充分保障消费者的八项基本权益，不断提升全行消费者权益保护工作质效。</w:t>
      </w:r>
      <w:r>
        <w:rPr>
          <w:rFonts w:hint="eastAsia" w:ascii="仿宋_GB2312" w:hAnsi="仿宋_GB2312" w:eastAsia="仿宋_GB2312" w:cs="仿宋_GB2312"/>
          <w:b/>
          <w:color w:val="000000"/>
          <w:sz w:val="32"/>
          <w:szCs w:val="32"/>
        </w:rPr>
        <w:t>三是</w:t>
      </w:r>
      <w:r>
        <w:rPr>
          <w:rFonts w:hint="eastAsia" w:ascii="仿宋_GB2312" w:hAnsi="仿宋_GB2312" w:eastAsia="仿宋_GB2312" w:cs="仿宋_GB2312"/>
          <w:color w:val="000000"/>
          <w:sz w:val="32"/>
          <w:szCs w:val="32"/>
        </w:rPr>
        <w:t>监督检查跟踪促发展。</w:t>
      </w:r>
      <w:r>
        <w:rPr>
          <w:rFonts w:hint="eastAsia" w:ascii="仿宋_GB2312" w:hAnsi="仿宋_GB2312" w:eastAsia="仿宋_GB2312" w:cs="仿宋_GB2312"/>
          <w:sz w:val="32"/>
          <w:szCs w:val="32"/>
        </w:rPr>
        <w:t>2025年6月开展“消费者权益保护考核机制运行情况评估”工作</w:t>
      </w:r>
      <w:r>
        <w:rPr>
          <w:rFonts w:hint="eastAsia" w:ascii="仿宋_GB2312" w:hAnsi="仿宋_GB2312" w:eastAsia="仿宋_GB2312" w:cs="仿宋_GB2312"/>
          <w:color w:val="000000"/>
          <w:sz w:val="32"/>
          <w:szCs w:val="32"/>
        </w:rPr>
        <w:t>，进一步提升了我行金融消费者权益保护工作服务水平。</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lang w:val="en-US" w:eastAsia="zh-CN"/>
        </w:rPr>
        <w:t>三、</w:t>
      </w:r>
      <w:r>
        <w:rPr>
          <w:rFonts w:hint="eastAsia" w:ascii="仿宋_GB2312" w:hAnsi="仿宋_GB2312" w:eastAsia="仿宋_GB2312" w:cs="仿宋_GB2312"/>
          <w:b/>
          <w:bCs/>
          <w:color w:val="000000"/>
          <w:sz w:val="32"/>
          <w:szCs w:val="32"/>
        </w:rPr>
        <w:t>投诉管理成效显著。</w:t>
      </w:r>
      <w:r>
        <w:rPr>
          <w:rFonts w:hint="eastAsia" w:ascii="仿宋_GB2312" w:hAnsi="仿宋_GB2312" w:eastAsia="仿宋_GB2312" w:cs="仿宋_GB2312"/>
          <w:b/>
          <w:color w:val="000000"/>
          <w:sz w:val="32"/>
          <w:szCs w:val="32"/>
        </w:rPr>
        <w:t>一是</w:t>
      </w:r>
      <w:r>
        <w:rPr>
          <w:rFonts w:hint="eastAsia" w:ascii="仿宋_GB2312" w:hAnsi="仿宋_GB2312" w:eastAsia="仿宋_GB2312" w:cs="仿宋_GB2312"/>
          <w:color w:val="000000"/>
          <w:sz w:val="32"/>
          <w:szCs w:val="32"/>
        </w:rPr>
        <w:t>转办投诉高效处理。各部门及网点负责人切实履行消保工作职责，有效传导责任压力，重点解决投诉占比高、客户纠纷易升级的问题。</w:t>
      </w:r>
      <w:r>
        <w:rPr>
          <w:rFonts w:hint="eastAsia" w:ascii="仿宋_GB2312" w:hAnsi="仿宋_GB2312" w:eastAsia="仿宋_GB2312" w:cs="仿宋_GB2312"/>
          <w:b/>
          <w:color w:val="000000"/>
          <w:sz w:val="32"/>
          <w:szCs w:val="32"/>
        </w:rPr>
        <w:t>二是</w:t>
      </w:r>
      <w:r>
        <w:rPr>
          <w:rFonts w:hint="eastAsia" w:ascii="仿宋_GB2312" w:hAnsi="仿宋_GB2312" w:eastAsia="仿宋_GB2312" w:cs="仿宋_GB2312"/>
          <w:color w:val="000000"/>
          <w:sz w:val="32"/>
          <w:szCs w:val="32"/>
        </w:rPr>
        <w:t>重点领域和重点投诉问题源头治理初显成效。开展化解风险矛盾排查专项行动，共</w:t>
      </w:r>
      <w:r>
        <w:rPr>
          <w:rFonts w:hint="eastAsia" w:ascii="仿宋_GB2312" w:hAnsi="仿宋_GB2312" w:eastAsia="仿宋_GB2312" w:cs="仿宋_GB2312"/>
          <w:sz w:val="32"/>
          <w:szCs w:val="32"/>
        </w:rPr>
        <w:t>处置化解投诉431件</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其中，消除化解矛盾尖锐突出信访5件，解决多年重复投诉信访2件。</w:t>
      </w: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畅通线上投诉渠道。在我行网站首页显著位置公示归口部门及各营业网点负责人投诉直拨电话，并突出公示投诉处理流程，包括投诉处理期限，减少消费者对未知信息的焦虑，降低重复投诉的发生。</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黑体" w:hAnsi="黑体" w:eastAsia="黑体" w:cs="宋体"/>
          <w:color w:val="000000"/>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宣传督导开展有力。</w:t>
      </w: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结合新形势主动提示风险防控建议，不断加强对基层网点的监督指导，加强基层员工对消费者权益保护工作的政策把握，进一步规范人员业务操作，提高维权协调能力。</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认真制定员工培训计划，将金融消费者权益保护纳入年度重点培训计划，结合条线部门工作实际，重点讲解消费投诉、受理和处理流程，以及在柜面服务、征信异议、银行卡等方面的案例分析，不断提高全行投诉处理效率，进一步提升专业化、标准化、规范化服务水平。其中“圆鼎家园”厅堂优质文明服务及“适老”服务专项培训2次。</w:t>
      </w: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强化投诉监测分析，全行各类客户投诉量得到有效遏制。对投诉高发的厅堂人员，在月度会计例会中对消费者投诉典型案例进行分析和总结，剖析成因对服务过程中存在失职点、失职人员进行通报批评。明确各事业部总经理、单位负责人为投诉处理第一责任人，对客户投诉量较大的单位进行排名，同时将被投诉情况纳入各单位、员工年度考核及评先争优中。</w:t>
      </w:r>
    </w:p>
    <w:p>
      <w:pPr>
        <w:spacing w:line="560" w:lineRule="exact"/>
        <w:jc w:val="center"/>
        <w:outlineLvl w:val="0"/>
        <w:rPr>
          <w:rFonts w:hint="eastAsia" w:ascii="黑体" w:hAnsi="黑体" w:eastAsia="黑体" w:cs="宋体"/>
          <w:color w:val="000000"/>
          <w:sz w:val="32"/>
          <w:szCs w:val="32"/>
        </w:rPr>
      </w:pPr>
    </w:p>
    <w:p>
      <w:pPr>
        <w:spacing w:line="560" w:lineRule="exact"/>
        <w:jc w:val="center"/>
        <w:outlineLvl w:val="0"/>
        <w:rPr>
          <w:rFonts w:ascii="仿宋_GB2312" w:hAnsi="宋体" w:eastAsia="仿宋_GB2312"/>
          <w:b/>
          <w:bCs/>
          <w:color w:val="000000" w:themeColor="text1"/>
          <w:sz w:val="32"/>
          <w:szCs w:val="32"/>
          <w14:textFill>
            <w14:solidFill>
              <w14:schemeClr w14:val="tx1"/>
            </w14:solidFill>
          </w14:textFill>
        </w:rPr>
      </w:pPr>
      <w:r>
        <w:rPr>
          <w:rFonts w:hint="eastAsia" w:ascii="黑体" w:hAnsi="黑体" w:eastAsia="黑体" w:cs="宋体"/>
          <w:color w:val="000000"/>
          <w:sz w:val="32"/>
          <w:szCs w:val="32"/>
        </w:rPr>
        <w:t>第</w:t>
      </w:r>
      <w:r>
        <w:rPr>
          <w:rFonts w:ascii="黑体" w:hAnsi="黑体" w:eastAsia="黑体" w:cs="宋体"/>
          <w:color w:val="000000"/>
          <w:sz w:val="32"/>
          <w:szCs w:val="32"/>
        </w:rPr>
        <w:t>九节</w:t>
      </w:r>
      <w:r>
        <w:rPr>
          <w:rFonts w:hint="eastAsia" w:ascii="黑体" w:hAnsi="黑体" w:eastAsia="黑体" w:cs="宋体"/>
          <w:color w:val="000000"/>
          <w:sz w:val="32"/>
          <w:szCs w:val="32"/>
        </w:rPr>
        <w:t xml:space="preserve">  其他事项</w:t>
      </w:r>
    </w:p>
    <w:p>
      <w:pPr>
        <w:spacing w:line="540" w:lineRule="exact"/>
        <w:ind w:firstLine="602" w:firstLineChars="200"/>
        <w:jc w:val="left"/>
        <w:rPr>
          <w:rFonts w:ascii="仿宋_GB2312" w:eastAsia="仿宋_GB2312"/>
          <w:b/>
          <w:sz w:val="30"/>
          <w:szCs w:val="30"/>
        </w:rPr>
      </w:pPr>
    </w:p>
    <w:p>
      <w:pPr>
        <w:keepNext w:val="0"/>
        <w:keepLines w:val="0"/>
        <w:pageBreakBefore w:val="0"/>
        <w:widowControl w:val="0"/>
        <w:kinsoku/>
        <w:wordWrap/>
        <w:autoSpaceDE/>
        <w:autoSpaceDN/>
        <w:bidi w:val="0"/>
        <w:adjustRightInd/>
        <w:snapToGrid/>
        <w:spacing w:line="540" w:lineRule="exact"/>
        <w:ind w:firstLine="643" w:firstLineChars="200"/>
        <w:jc w:val="left"/>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rPr>
        <w:t>一、小微金融服务情况</w:t>
      </w:r>
    </w:p>
    <w:p>
      <w:pPr>
        <w:keepNext w:val="0"/>
        <w:keepLines w:val="0"/>
        <w:pageBreakBefore w:val="0"/>
        <w:widowControl w:val="0"/>
        <w:kinsoku/>
        <w:wordWrap/>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highlight w:val="none"/>
          <w:shd w:val="clear" w:fill="FEFEFE"/>
          <w14:textFill>
            <w14:solidFill>
              <w14:schemeClr w14:val="tx1"/>
            </w14:solidFill>
          </w14:textFill>
        </w:rPr>
        <w:t>报告期内，本行坚守支农支小市场定位，持续优化小微金融服务体系，认真落实民营及小微企业扶持政策，积极推进个体工商户、小微企业走访服务，注重政策倾斜，优化小微企业贷款定价模型，深化减费让利。</w:t>
      </w:r>
      <w:r>
        <w:rPr>
          <w:rFonts w:hint="eastAsia" w:ascii="仿宋_GB2312" w:hAnsi="仿宋_GB2312" w:eastAsia="仿宋_GB2312" w:cs="仿宋_GB2312"/>
          <w:b w:val="0"/>
          <w:bCs w:val="0"/>
          <w:i w:val="0"/>
          <w:iCs w:val="0"/>
          <w:caps w:val="0"/>
          <w:color w:val="333333"/>
          <w:spacing w:val="0"/>
          <w:sz w:val="32"/>
          <w:szCs w:val="32"/>
          <w:shd w:val="clear" w:fill="FEFEFE"/>
        </w:rPr>
        <w:t>202</w:t>
      </w:r>
      <w:r>
        <w:rPr>
          <w:rFonts w:hint="eastAsia" w:ascii="仿宋_GB2312" w:hAnsi="仿宋_GB2312" w:eastAsia="仿宋_GB2312" w:cs="仿宋_GB2312"/>
          <w:b w:val="0"/>
          <w:bCs w:val="0"/>
          <w:i w:val="0"/>
          <w:iCs w:val="0"/>
          <w:caps w:val="0"/>
          <w:color w:val="333333"/>
          <w:spacing w:val="0"/>
          <w:sz w:val="32"/>
          <w:szCs w:val="32"/>
          <w:shd w:val="clear" w:fill="FEFEFE"/>
          <w:lang w:val="en-US" w:eastAsia="zh-CN"/>
        </w:rPr>
        <w:t>5</w:t>
      </w:r>
      <w:r>
        <w:rPr>
          <w:rFonts w:hint="eastAsia" w:ascii="仿宋_GB2312" w:hAnsi="仿宋_GB2312" w:eastAsia="仿宋_GB2312" w:cs="仿宋_GB2312"/>
          <w:b w:val="0"/>
          <w:bCs w:val="0"/>
          <w:i w:val="0"/>
          <w:iCs w:val="0"/>
          <w:caps w:val="0"/>
          <w:color w:val="333333"/>
          <w:spacing w:val="0"/>
          <w:sz w:val="32"/>
          <w:szCs w:val="32"/>
          <w:shd w:val="clear" w:fill="FEFEFE"/>
        </w:rPr>
        <w:t>年末，我行小微企业贷款户数</w:t>
      </w:r>
      <w:r>
        <w:rPr>
          <w:rFonts w:hint="eastAsia" w:ascii="仿宋_GB2312" w:hAnsi="仿宋_GB2312" w:eastAsia="仿宋_GB2312" w:cs="仿宋_GB2312"/>
          <w:b w:val="0"/>
          <w:bCs w:val="0"/>
          <w:i w:val="0"/>
          <w:iCs w:val="0"/>
          <w:caps w:val="0"/>
          <w:color w:val="333333"/>
          <w:spacing w:val="0"/>
          <w:sz w:val="32"/>
          <w:szCs w:val="32"/>
          <w:shd w:val="clear" w:fill="FEFEFE"/>
          <w:lang w:val="en-US" w:eastAsia="zh-CN"/>
        </w:rPr>
        <w:t>28977</w:t>
      </w:r>
      <w:r>
        <w:rPr>
          <w:rFonts w:hint="eastAsia" w:ascii="仿宋_GB2312" w:hAnsi="仿宋_GB2312" w:eastAsia="仿宋_GB2312" w:cs="仿宋_GB2312"/>
          <w:b w:val="0"/>
          <w:bCs w:val="0"/>
          <w:i w:val="0"/>
          <w:iCs w:val="0"/>
          <w:caps w:val="0"/>
          <w:color w:val="333333"/>
          <w:spacing w:val="0"/>
          <w:sz w:val="32"/>
          <w:szCs w:val="32"/>
          <w:shd w:val="clear" w:fill="FEFEFE"/>
        </w:rPr>
        <w:t>户，比年初增加</w:t>
      </w:r>
      <w:r>
        <w:rPr>
          <w:rFonts w:hint="eastAsia" w:ascii="仿宋_GB2312" w:hAnsi="仿宋_GB2312" w:eastAsia="仿宋_GB2312" w:cs="仿宋_GB2312"/>
          <w:b w:val="0"/>
          <w:bCs w:val="0"/>
          <w:i w:val="0"/>
          <w:iCs w:val="0"/>
          <w:caps w:val="0"/>
          <w:color w:val="333333"/>
          <w:spacing w:val="0"/>
          <w:sz w:val="32"/>
          <w:szCs w:val="32"/>
          <w:shd w:val="clear" w:fill="FEFEFE"/>
          <w:lang w:val="en-US" w:eastAsia="zh-CN"/>
        </w:rPr>
        <w:t>2344</w:t>
      </w:r>
      <w:r>
        <w:rPr>
          <w:rFonts w:hint="eastAsia" w:ascii="仿宋_GB2312" w:hAnsi="仿宋_GB2312" w:eastAsia="仿宋_GB2312" w:cs="仿宋_GB2312"/>
          <w:b w:val="0"/>
          <w:bCs w:val="0"/>
          <w:i w:val="0"/>
          <w:iCs w:val="0"/>
          <w:caps w:val="0"/>
          <w:color w:val="333333"/>
          <w:spacing w:val="0"/>
          <w:sz w:val="32"/>
          <w:szCs w:val="32"/>
          <w:shd w:val="clear" w:fill="FEFEFE"/>
        </w:rPr>
        <w:t>户；小微企业贷款余额</w:t>
      </w:r>
      <w:r>
        <w:rPr>
          <w:rFonts w:hint="eastAsia" w:ascii="仿宋_GB2312" w:hAnsi="仿宋_GB2312" w:eastAsia="仿宋_GB2312" w:cs="仿宋_GB2312"/>
          <w:b w:val="0"/>
          <w:bCs w:val="0"/>
          <w:i w:val="0"/>
          <w:iCs w:val="0"/>
          <w:caps w:val="0"/>
          <w:color w:val="333333"/>
          <w:spacing w:val="0"/>
          <w:sz w:val="32"/>
          <w:szCs w:val="32"/>
          <w:shd w:val="clear" w:fill="FEFEFE"/>
          <w:lang w:val="en-US" w:eastAsia="zh-CN"/>
        </w:rPr>
        <w:t>217.54</w:t>
      </w:r>
      <w:r>
        <w:rPr>
          <w:rFonts w:hint="eastAsia" w:ascii="仿宋_GB2312" w:hAnsi="仿宋_GB2312" w:eastAsia="仿宋_GB2312" w:cs="仿宋_GB2312"/>
          <w:b w:val="0"/>
          <w:bCs w:val="0"/>
          <w:i w:val="0"/>
          <w:iCs w:val="0"/>
          <w:caps w:val="0"/>
          <w:color w:val="333333"/>
          <w:spacing w:val="0"/>
          <w:sz w:val="32"/>
          <w:szCs w:val="32"/>
          <w:shd w:val="clear" w:fill="FEFEFE"/>
        </w:rPr>
        <w:t>亿元，比年初增加</w:t>
      </w:r>
      <w:r>
        <w:rPr>
          <w:rFonts w:hint="eastAsia" w:ascii="仿宋_GB2312" w:hAnsi="仿宋_GB2312" w:eastAsia="仿宋_GB2312" w:cs="仿宋_GB2312"/>
          <w:b w:val="0"/>
          <w:bCs w:val="0"/>
          <w:i w:val="0"/>
          <w:iCs w:val="0"/>
          <w:caps w:val="0"/>
          <w:color w:val="333333"/>
          <w:spacing w:val="0"/>
          <w:sz w:val="32"/>
          <w:szCs w:val="32"/>
          <w:shd w:val="clear" w:fill="FEFEFE"/>
          <w:lang w:val="en-US" w:eastAsia="zh-CN"/>
        </w:rPr>
        <w:t>22.36</w:t>
      </w:r>
      <w:r>
        <w:rPr>
          <w:rFonts w:hint="eastAsia" w:ascii="仿宋_GB2312" w:hAnsi="仿宋_GB2312" w:eastAsia="仿宋_GB2312" w:cs="仿宋_GB2312"/>
          <w:b w:val="0"/>
          <w:bCs w:val="0"/>
          <w:i w:val="0"/>
          <w:iCs w:val="0"/>
          <w:caps w:val="0"/>
          <w:color w:val="333333"/>
          <w:spacing w:val="0"/>
          <w:sz w:val="32"/>
          <w:szCs w:val="32"/>
          <w:shd w:val="clear" w:fill="FEFEFE"/>
        </w:rPr>
        <w:t>亿元。</w:t>
      </w:r>
    </w:p>
    <w:p>
      <w:pPr>
        <w:keepNext w:val="0"/>
        <w:keepLines w:val="0"/>
        <w:pageBreakBefore w:val="0"/>
        <w:widowControl w:val="0"/>
        <w:kinsoku/>
        <w:wordWrap/>
        <w:overflowPunct w:val="0"/>
        <w:topLinePunct/>
        <w:autoSpaceDE/>
        <w:autoSpaceDN/>
        <w:bidi w:val="0"/>
        <w:adjustRightInd/>
        <w:snapToGrid/>
        <w:spacing w:line="540" w:lineRule="exact"/>
        <w:ind w:firstLine="643" w:firstLineChars="200"/>
        <w:jc w:val="left"/>
        <w:textAlignment w:val="auto"/>
        <w:rPr>
          <w:rFonts w:hint="eastAsia" w:ascii="仿宋_GB2312" w:hAnsi="仿宋_GB2312" w:eastAsia="仿宋_GB2312" w:cs="仿宋_GB2312"/>
          <w:b/>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二、绿色信贷开展情况</w:t>
      </w:r>
    </w:p>
    <w:p>
      <w:pPr>
        <w:pStyle w:val="9"/>
        <w:keepNext w:val="0"/>
        <w:keepLines w:val="0"/>
        <w:pageBreakBefore w:val="0"/>
        <w:widowControl w:val="0"/>
        <w:kinsoku/>
        <w:wordWrap/>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i w:val="0"/>
          <w:iCs w:val="0"/>
          <w:caps w:val="0"/>
          <w:color w:val="000000" w:themeColor="text1"/>
          <w:spacing w:val="0"/>
          <w:kern w:val="2"/>
          <w:sz w:val="32"/>
          <w:szCs w:val="32"/>
          <w:highlight w:val="none"/>
          <w:shd w:val="clear" w:fill="FEFEFE"/>
          <w:lang w:val="en-US" w:eastAsia="zh-CN" w:bidi="ar-SA"/>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kern w:val="2"/>
          <w:sz w:val="32"/>
          <w:szCs w:val="32"/>
          <w:highlight w:val="none"/>
          <w:shd w:val="clear" w:fill="FEFEFE"/>
          <w:lang w:val="en-US" w:eastAsia="zh-CN" w:bidi="ar-SA"/>
          <w14:textFill>
            <w14:solidFill>
              <w14:schemeClr w14:val="tx1"/>
            </w14:solidFill>
          </w14:textFill>
        </w:rPr>
        <w:t>2025年以来，全行严格贯彻落实监管部门、省联社绿色信贷工作要求，持续推进绿色信贷长效发展的机制建设。从工作措施上明确绿色信贷重点，压实工作责任，加大绿色贷款投放力度，不断提升服务质效。至2025末，全行绿色信贷余额94225万元，比年初增加23471万元、增长33.17%。其中环境保护产业贷款余额16894万元；资源循环利用产业贷款余额15207万元；能源绿色低碳转型贷款余额9223万；生态保护修复和利用贷款余额30452万元；基础设施绿色升级贷款余额21249万元；绿色服务贷款余额1200万元。</w:t>
      </w:r>
    </w:p>
    <w:p>
      <w:pPr>
        <w:spacing w:line="560" w:lineRule="exact"/>
        <w:jc w:val="center"/>
        <w:outlineLvl w:val="0"/>
        <w:rPr>
          <w:rFonts w:hint="eastAsia" w:ascii="黑体" w:hAnsi="黑体" w:eastAsia="黑体" w:cs="宋体"/>
          <w:color w:val="000000"/>
          <w:sz w:val="32"/>
          <w:szCs w:val="32"/>
        </w:rPr>
      </w:pPr>
    </w:p>
    <w:p>
      <w:pPr>
        <w:spacing w:line="560" w:lineRule="exact"/>
        <w:jc w:val="center"/>
        <w:outlineLvl w:val="0"/>
        <w:rPr>
          <w:rFonts w:hint="eastAsia" w:ascii="黑体" w:hAnsi="黑体" w:eastAsia="黑体" w:cs="宋体"/>
          <w:color w:val="000000"/>
          <w:sz w:val="32"/>
          <w:szCs w:val="32"/>
        </w:rPr>
      </w:pPr>
      <w:r>
        <w:rPr>
          <w:rFonts w:hint="eastAsia" w:ascii="黑体" w:hAnsi="黑体" w:eastAsia="黑体" w:cs="宋体"/>
          <w:color w:val="000000"/>
          <w:sz w:val="32"/>
          <w:szCs w:val="32"/>
        </w:rPr>
        <w:t>第十节 重要事项</w:t>
      </w:r>
    </w:p>
    <w:p>
      <w:pPr>
        <w:spacing w:line="54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p>
    <w:p>
      <w:pPr>
        <w:spacing w:line="54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一、报告期内，无重大诉讼、仲裁事项。</w:t>
      </w:r>
    </w:p>
    <w:p>
      <w:pPr>
        <w:spacing w:line="54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二、报告期内，未发生重大案件、重大差错等情况。</w:t>
      </w:r>
    </w:p>
    <w:p>
      <w:pPr>
        <w:spacing w:line="54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三、报告期内，本行各项业务合同履行情况正常，无重大合同纠纷发生。</w:t>
      </w:r>
    </w:p>
    <w:p>
      <w:pPr>
        <w:numPr>
          <w:ilvl w:val="0"/>
          <w:numId w:val="0"/>
        </w:numPr>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四、报告期内，本行董</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监</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事、高管人员未受到监管部门和司法部门处罚。</w:t>
      </w:r>
    </w:p>
    <w:p>
      <w:pPr>
        <w:spacing w:line="54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除上述事项外，截至202</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年12月31日，本行无需要披露的其他重要事项。</w:t>
      </w:r>
    </w:p>
    <w:p>
      <w:pPr>
        <w:spacing w:line="540" w:lineRule="exact"/>
        <w:ind w:firstLine="640" w:firstLineChars="200"/>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附件1：202</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年度审计报告及财务报表附注</w:t>
      </w:r>
    </w:p>
    <w:p>
      <w:pPr>
        <w:pStyle w:val="9"/>
        <w:ind w:firstLine="64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附件2：董事</w:t>
      </w:r>
      <w:bookmarkStart w:id="15" w:name="_GoBack"/>
      <w:bookmarkEnd w:id="15"/>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及高级管理者简历</w:t>
      </w:r>
    </w:p>
    <w:p>
      <w:pPr>
        <w:pStyle w:val="9"/>
        <w:ind w:firstLine="64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附件3：董事会及监事会通过议案明细</w:t>
      </w:r>
    </w:p>
    <w:p>
      <w:pPr>
        <w:spacing w:line="54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p>
    <w:p>
      <w:pPr>
        <w:pStyle w:val="9"/>
        <w:spacing w:line="540" w:lineRule="exact"/>
        <w:ind w:firstLine="200"/>
        <w:rPr>
          <w:color w:val="000000" w:themeColor="text1"/>
          <w:highlight w:val="none"/>
          <w14:textFill>
            <w14:solidFill>
              <w14:schemeClr w14:val="tx1"/>
            </w14:solidFill>
          </w14:textFill>
        </w:rPr>
      </w:pPr>
    </w:p>
    <w:p>
      <w:pPr>
        <w:spacing w:line="540" w:lineRule="exact"/>
        <w:ind w:firstLine="643" w:firstLineChars="200"/>
        <w:rPr>
          <w:rFonts w:ascii="仿宋_GB2312" w:hAnsi="宋体" w:eastAsia="仿宋_GB2312" w:cs="宋体"/>
          <w:color w:val="000000" w:themeColor="text1"/>
          <w:sz w:val="32"/>
          <w:szCs w:val="32"/>
          <w:highlight w:val="none"/>
          <w14:textFill>
            <w14:solidFill>
              <w14:schemeClr w14:val="tx1"/>
            </w14:solidFill>
          </w14:textFill>
        </w:rPr>
      </w:pPr>
      <w:r>
        <w:rPr>
          <w:rFonts w:hint="eastAsia" w:ascii="仿宋_GB2312" w:hAnsi="宋体" w:eastAsia="仿宋_GB2312" w:cs="Courier New"/>
          <w:b/>
          <w:color w:val="000000" w:themeColor="text1"/>
          <w:sz w:val="32"/>
          <w:szCs w:val="32"/>
          <w:highlight w:val="none"/>
          <w14:textFill>
            <w14:solidFill>
              <w14:schemeClr w14:val="tx1"/>
            </w14:solidFill>
          </w14:textFill>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大标宋简体">
    <w:panose1 w:val="02000000000000000000"/>
    <w:charset w:val="86"/>
    <w:family w:val="script"/>
    <w:pitch w:val="default"/>
    <w:sig w:usb0="A00002BF" w:usb1="184F6CFA" w:usb2="00000012" w:usb3="00000000" w:csb0="00040001"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940E17"/>
    <w:multiLevelType w:val="singleLevel"/>
    <w:tmpl w:val="C6940E17"/>
    <w:lvl w:ilvl="0" w:tentative="0">
      <w:start w:val="2"/>
      <w:numFmt w:val="chineseCounting"/>
      <w:suff w:val="nothing"/>
      <w:lvlText w:val="%1、"/>
      <w:lvlJc w:val="left"/>
      <w:rPr>
        <w:rFonts w:hint="eastAsia"/>
      </w:rPr>
    </w:lvl>
  </w:abstractNum>
  <w:abstractNum w:abstractNumId="1">
    <w:nsid w:val="3613F9D4"/>
    <w:multiLevelType w:val="singleLevel"/>
    <w:tmpl w:val="3613F9D4"/>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hMzI1OWY0ZDNkNzNjODQzZDBlZjQwZTZhMjg2NzAifQ=="/>
  </w:docVars>
  <w:rsids>
    <w:rsidRoot w:val="12A549DA"/>
    <w:rsid w:val="0002707D"/>
    <w:rsid w:val="00045876"/>
    <w:rsid w:val="00052605"/>
    <w:rsid w:val="000550B5"/>
    <w:rsid w:val="00077689"/>
    <w:rsid w:val="000B2B5D"/>
    <w:rsid w:val="000B62A1"/>
    <w:rsid w:val="001032B0"/>
    <w:rsid w:val="00141E9B"/>
    <w:rsid w:val="00175B5F"/>
    <w:rsid w:val="001F44CD"/>
    <w:rsid w:val="002012CF"/>
    <w:rsid w:val="00275D7A"/>
    <w:rsid w:val="00285206"/>
    <w:rsid w:val="0028682F"/>
    <w:rsid w:val="002A6C06"/>
    <w:rsid w:val="002F49CD"/>
    <w:rsid w:val="00311AC6"/>
    <w:rsid w:val="0033074B"/>
    <w:rsid w:val="00343262"/>
    <w:rsid w:val="0036492E"/>
    <w:rsid w:val="00385C45"/>
    <w:rsid w:val="003B62A6"/>
    <w:rsid w:val="004200A4"/>
    <w:rsid w:val="00427F7D"/>
    <w:rsid w:val="004C0ADB"/>
    <w:rsid w:val="005112F9"/>
    <w:rsid w:val="005838B4"/>
    <w:rsid w:val="0059620B"/>
    <w:rsid w:val="005C5006"/>
    <w:rsid w:val="005F3997"/>
    <w:rsid w:val="006760EA"/>
    <w:rsid w:val="006D3AAD"/>
    <w:rsid w:val="00724848"/>
    <w:rsid w:val="007567EA"/>
    <w:rsid w:val="00777E50"/>
    <w:rsid w:val="00782FF5"/>
    <w:rsid w:val="007D034A"/>
    <w:rsid w:val="0085009C"/>
    <w:rsid w:val="008B57CB"/>
    <w:rsid w:val="008C4768"/>
    <w:rsid w:val="00931D8E"/>
    <w:rsid w:val="00945D92"/>
    <w:rsid w:val="00956942"/>
    <w:rsid w:val="00974F6D"/>
    <w:rsid w:val="00A8341E"/>
    <w:rsid w:val="00AA16C4"/>
    <w:rsid w:val="00B52042"/>
    <w:rsid w:val="00B83375"/>
    <w:rsid w:val="00C34A3D"/>
    <w:rsid w:val="00CC6ED3"/>
    <w:rsid w:val="00CD217B"/>
    <w:rsid w:val="00CF1B7B"/>
    <w:rsid w:val="00CF21DF"/>
    <w:rsid w:val="00CF2906"/>
    <w:rsid w:val="00D203D9"/>
    <w:rsid w:val="00D2167B"/>
    <w:rsid w:val="00D23963"/>
    <w:rsid w:val="00D74235"/>
    <w:rsid w:val="00D94359"/>
    <w:rsid w:val="00DB1FB1"/>
    <w:rsid w:val="00DE5E91"/>
    <w:rsid w:val="00E32E1B"/>
    <w:rsid w:val="00F8597F"/>
    <w:rsid w:val="0124115E"/>
    <w:rsid w:val="01930227"/>
    <w:rsid w:val="02160FAB"/>
    <w:rsid w:val="02541B61"/>
    <w:rsid w:val="026B525A"/>
    <w:rsid w:val="02AC21EF"/>
    <w:rsid w:val="03383CB1"/>
    <w:rsid w:val="03E2226C"/>
    <w:rsid w:val="03E63890"/>
    <w:rsid w:val="040E5C29"/>
    <w:rsid w:val="04147AAC"/>
    <w:rsid w:val="049A2CD6"/>
    <w:rsid w:val="049E7ED6"/>
    <w:rsid w:val="04D32E79"/>
    <w:rsid w:val="04F34773"/>
    <w:rsid w:val="053960A1"/>
    <w:rsid w:val="05B42F17"/>
    <w:rsid w:val="06470E79"/>
    <w:rsid w:val="068A6CC7"/>
    <w:rsid w:val="074173E6"/>
    <w:rsid w:val="074D23AF"/>
    <w:rsid w:val="077E1639"/>
    <w:rsid w:val="07F76794"/>
    <w:rsid w:val="08155464"/>
    <w:rsid w:val="081B02FA"/>
    <w:rsid w:val="082B787A"/>
    <w:rsid w:val="087D37AA"/>
    <w:rsid w:val="08B2240B"/>
    <w:rsid w:val="09727A0F"/>
    <w:rsid w:val="09742BB1"/>
    <w:rsid w:val="09895AEA"/>
    <w:rsid w:val="09906FBF"/>
    <w:rsid w:val="09F52342"/>
    <w:rsid w:val="0A0C63BD"/>
    <w:rsid w:val="0A3B7D17"/>
    <w:rsid w:val="0A8562CE"/>
    <w:rsid w:val="0A924A17"/>
    <w:rsid w:val="0AC3352F"/>
    <w:rsid w:val="0AF105A1"/>
    <w:rsid w:val="0B503354"/>
    <w:rsid w:val="0B7D5814"/>
    <w:rsid w:val="0B9C6B10"/>
    <w:rsid w:val="0BAF166E"/>
    <w:rsid w:val="0BB124BD"/>
    <w:rsid w:val="0CBA678F"/>
    <w:rsid w:val="0CC56048"/>
    <w:rsid w:val="0CFB3201"/>
    <w:rsid w:val="0D174814"/>
    <w:rsid w:val="0D305DA2"/>
    <w:rsid w:val="0DDB43D7"/>
    <w:rsid w:val="0EC72CE2"/>
    <w:rsid w:val="0F013EAE"/>
    <w:rsid w:val="0F7002BC"/>
    <w:rsid w:val="0F7F477C"/>
    <w:rsid w:val="0F9768B5"/>
    <w:rsid w:val="0FA16326"/>
    <w:rsid w:val="100A4128"/>
    <w:rsid w:val="10273790"/>
    <w:rsid w:val="109449B5"/>
    <w:rsid w:val="10C20B40"/>
    <w:rsid w:val="111C1C1F"/>
    <w:rsid w:val="11274398"/>
    <w:rsid w:val="116E61A6"/>
    <w:rsid w:val="11B40E99"/>
    <w:rsid w:val="128B3502"/>
    <w:rsid w:val="12A549DA"/>
    <w:rsid w:val="13804F34"/>
    <w:rsid w:val="13825C11"/>
    <w:rsid w:val="139F34CE"/>
    <w:rsid w:val="13B72BE8"/>
    <w:rsid w:val="13CC58CF"/>
    <w:rsid w:val="13DF1A35"/>
    <w:rsid w:val="142F0308"/>
    <w:rsid w:val="147E16E8"/>
    <w:rsid w:val="147F7CCB"/>
    <w:rsid w:val="14AF663C"/>
    <w:rsid w:val="14D22955"/>
    <w:rsid w:val="14F90796"/>
    <w:rsid w:val="156222A6"/>
    <w:rsid w:val="15F1120D"/>
    <w:rsid w:val="163A6359"/>
    <w:rsid w:val="164064C8"/>
    <w:rsid w:val="16740787"/>
    <w:rsid w:val="16745A13"/>
    <w:rsid w:val="168D108C"/>
    <w:rsid w:val="16FD77F0"/>
    <w:rsid w:val="17933DF3"/>
    <w:rsid w:val="179D20BB"/>
    <w:rsid w:val="17A675DA"/>
    <w:rsid w:val="17CD4CD3"/>
    <w:rsid w:val="17D17CE7"/>
    <w:rsid w:val="17DC4231"/>
    <w:rsid w:val="18901B15"/>
    <w:rsid w:val="18975082"/>
    <w:rsid w:val="19306DE0"/>
    <w:rsid w:val="197C175F"/>
    <w:rsid w:val="19AB0411"/>
    <w:rsid w:val="19B61213"/>
    <w:rsid w:val="19C6726A"/>
    <w:rsid w:val="19FC26DE"/>
    <w:rsid w:val="1A3B0686"/>
    <w:rsid w:val="1A584D59"/>
    <w:rsid w:val="1A746473"/>
    <w:rsid w:val="1A9D034B"/>
    <w:rsid w:val="1AEE0821"/>
    <w:rsid w:val="1AF866CC"/>
    <w:rsid w:val="1B060C14"/>
    <w:rsid w:val="1B1069E9"/>
    <w:rsid w:val="1B7F172C"/>
    <w:rsid w:val="1BBB7B86"/>
    <w:rsid w:val="1C0E406B"/>
    <w:rsid w:val="1C3A07D3"/>
    <w:rsid w:val="1C896A53"/>
    <w:rsid w:val="1C9828F5"/>
    <w:rsid w:val="1CD11494"/>
    <w:rsid w:val="1CEA08F7"/>
    <w:rsid w:val="1CEA7508"/>
    <w:rsid w:val="1DB37678"/>
    <w:rsid w:val="1E3D00F6"/>
    <w:rsid w:val="1EB9522F"/>
    <w:rsid w:val="1F250958"/>
    <w:rsid w:val="1F4315DA"/>
    <w:rsid w:val="200B42E7"/>
    <w:rsid w:val="203A62EF"/>
    <w:rsid w:val="20D77F08"/>
    <w:rsid w:val="21026F3C"/>
    <w:rsid w:val="212A066B"/>
    <w:rsid w:val="21791B17"/>
    <w:rsid w:val="217E4762"/>
    <w:rsid w:val="21812196"/>
    <w:rsid w:val="218A31FD"/>
    <w:rsid w:val="21E34528"/>
    <w:rsid w:val="22114593"/>
    <w:rsid w:val="2298289F"/>
    <w:rsid w:val="23406071"/>
    <w:rsid w:val="237D5147"/>
    <w:rsid w:val="239255F7"/>
    <w:rsid w:val="23FD5ACD"/>
    <w:rsid w:val="245C67FB"/>
    <w:rsid w:val="24ED69C8"/>
    <w:rsid w:val="250F4C44"/>
    <w:rsid w:val="25281DE9"/>
    <w:rsid w:val="25EA2CC2"/>
    <w:rsid w:val="276E2D92"/>
    <w:rsid w:val="277651B0"/>
    <w:rsid w:val="27BB6F14"/>
    <w:rsid w:val="283E6797"/>
    <w:rsid w:val="284075F2"/>
    <w:rsid w:val="28525C81"/>
    <w:rsid w:val="28A074C7"/>
    <w:rsid w:val="28AF7842"/>
    <w:rsid w:val="28E12ADE"/>
    <w:rsid w:val="29564EDD"/>
    <w:rsid w:val="2997344C"/>
    <w:rsid w:val="29B535E1"/>
    <w:rsid w:val="2A1D20C6"/>
    <w:rsid w:val="2A2672DA"/>
    <w:rsid w:val="2A3909A4"/>
    <w:rsid w:val="2B0E7AB2"/>
    <w:rsid w:val="2B63314E"/>
    <w:rsid w:val="2B8D48BB"/>
    <w:rsid w:val="2BD5207C"/>
    <w:rsid w:val="2BD75111"/>
    <w:rsid w:val="2BFD1938"/>
    <w:rsid w:val="2C3E4266"/>
    <w:rsid w:val="2C865035"/>
    <w:rsid w:val="2CF32E7F"/>
    <w:rsid w:val="2D07786C"/>
    <w:rsid w:val="2D344304"/>
    <w:rsid w:val="2D580F04"/>
    <w:rsid w:val="2D7746A6"/>
    <w:rsid w:val="2DC2089D"/>
    <w:rsid w:val="2DC357DA"/>
    <w:rsid w:val="2DD56FC0"/>
    <w:rsid w:val="2E311B13"/>
    <w:rsid w:val="2E4B2482"/>
    <w:rsid w:val="2F261EE0"/>
    <w:rsid w:val="2F345295"/>
    <w:rsid w:val="2FC254E7"/>
    <w:rsid w:val="2FD52C07"/>
    <w:rsid w:val="30152D72"/>
    <w:rsid w:val="305D6DAA"/>
    <w:rsid w:val="30ED53AB"/>
    <w:rsid w:val="311157D4"/>
    <w:rsid w:val="312778E2"/>
    <w:rsid w:val="31787686"/>
    <w:rsid w:val="32786072"/>
    <w:rsid w:val="332B739F"/>
    <w:rsid w:val="33512240"/>
    <w:rsid w:val="33514D65"/>
    <w:rsid w:val="33901FE7"/>
    <w:rsid w:val="33D456ED"/>
    <w:rsid w:val="34B07AE5"/>
    <w:rsid w:val="35141CB6"/>
    <w:rsid w:val="35486970"/>
    <w:rsid w:val="357B52C9"/>
    <w:rsid w:val="360173F3"/>
    <w:rsid w:val="36745022"/>
    <w:rsid w:val="368479F5"/>
    <w:rsid w:val="377D1D65"/>
    <w:rsid w:val="3787239B"/>
    <w:rsid w:val="37D23FA3"/>
    <w:rsid w:val="38356245"/>
    <w:rsid w:val="383758E3"/>
    <w:rsid w:val="389B2BBA"/>
    <w:rsid w:val="38D84878"/>
    <w:rsid w:val="393D1509"/>
    <w:rsid w:val="395D63A7"/>
    <w:rsid w:val="39A2075C"/>
    <w:rsid w:val="39C325DD"/>
    <w:rsid w:val="3AA4183A"/>
    <w:rsid w:val="3AFC6021"/>
    <w:rsid w:val="3AFE2E9F"/>
    <w:rsid w:val="3B2B62A3"/>
    <w:rsid w:val="3B3D61BD"/>
    <w:rsid w:val="3B476AC5"/>
    <w:rsid w:val="3B476ACD"/>
    <w:rsid w:val="3C150583"/>
    <w:rsid w:val="3C426FDC"/>
    <w:rsid w:val="3C4C637B"/>
    <w:rsid w:val="3CB33AEF"/>
    <w:rsid w:val="3D4746CA"/>
    <w:rsid w:val="3DC3770A"/>
    <w:rsid w:val="3ECE74C1"/>
    <w:rsid w:val="3F00466A"/>
    <w:rsid w:val="3F6E2479"/>
    <w:rsid w:val="3FB00F40"/>
    <w:rsid w:val="40093F05"/>
    <w:rsid w:val="40253452"/>
    <w:rsid w:val="4032245D"/>
    <w:rsid w:val="40B4420C"/>
    <w:rsid w:val="40E0024B"/>
    <w:rsid w:val="411F78D2"/>
    <w:rsid w:val="41B33186"/>
    <w:rsid w:val="420A03DA"/>
    <w:rsid w:val="42133217"/>
    <w:rsid w:val="426C7B8A"/>
    <w:rsid w:val="42D96EC9"/>
    <w:rsid w:val="4409772F"/>
    <w:rsid w:val="44987516"/>
    <w:rsid w:val="44C8292A"/>
    <w:rsid w:val="44DF5051"/>
    <w:rsid w:val="44EE15E1"/>
    <w:rsid w:val="45156108"/>
    <w:rsid w:val="453131EA"/>
    <w:rsid w:val="4582460A"/>
    <w:rsid w:val="45E74EF6"/>
    <w:rsid w:val="4643732E"/>
    <w:rsid w:val="468035D2"/>
    <w:rsid w:val="469C2D97"/>
    <w:rsid w:val="46AF4486"/>
    <w:rsid w:val="47234345"/>
    <w:rsid w:val="47A24609"/>
    <w:rsid w:val="47BF5F05"/>
    <w:rsid w:val="480550FA"/>
    <w:rsid w:val="481F76E0"/>
    <w:rsid w:val="482E357C"/>
    <w:rsid w:val="485B3D60"/>
    <w:rsid w:val="48796C8C"/>
    <w:rsid w:val="48B331F5"/>
    <w:rsid w:val="48C93BB0"/>
    <w:rsid w:val="497F3FD6"/>
    <w:rsid w:val="49895583"/>
    <w:rsid w:val="49F65599"/>
    <w:rsid w:val="4A0531C1"/>
    <w:rsid w:val="4A464412"/>
    <w:rsid w:val="4A637C9A"/>
    <w:rsid w:val="4A7111AE"/>
    <w:rsid w:val="4A790757"/>
    <w:rsid w:val="4A8D0ADE"/>
    <w:rsid w:val="4AC179D4"/>
    <w:rsid w:val="4AEF6C19"/>
    <w:rsid w:val="4B8D4055"/>
    <w:rsid w:val="4BAA3B26"/>
    <w:rsid w:val="4BCB4F96"/>
    <w:rsid w:val="4BCD146B"/>
    <w:rsid w:val="4C914A2C"/>
    <w:rsid w:val="4CCF6D5F"/>
    <w:rsid w:val="4D0D1489"/>
    <w:rsid w:val="4D1070F4"/>
    <w:rsid w:val="4D6865B5"/>
    <w:rsid w:val="4D85535E"/>
    <w:rsid w:val="4D9C6D89"/>
    <w:rsid w:val="4DB379C3"/>
    <w:rsid w:val="4E023609"/>
    <w:rsid w:val="4E5F640F"/>
    <w:rsid w:val="4E7B5851"/>
    <w:rsid w:val="4F1E2ADB"/>
    <w:rsid w:val="4FAE3D09"/>
    <w:rsid w:val="502111DF"/>
    <w:rsid w:val="502E6463"/>
    <w:rsid w:val="50F9189D"/>
    <w:rsid w:val="51A90A23"/>
    <w:rsid w:val="51DC16DA"/>
    <w:rsid w:val="520B071F"/>
    <w:rsid w:val="52B43037"/>
    <w:rsid w:val="52B92EE7"/>
    <w:rsid w:val="530E2D51"/>
    <w:rsid w:val="53987EBC"/>
    <w:rsid w:val="540E0999"/>
    <w:rsid w:val="54200610"/>
    <w:rsid w:val="54CC295A"/>
    <w:rsid w:val="54E40AC8"/>
    <w:rsid w:val="54EC4A28"/>
    <w:rsid w:val="552B7D85"/>
    <w:rsid w:val="55AF2020"/>
    <w:rsid w:val="55DF63F2"/>
    <w:rsid w:val="56587A30"/>
    <w:rsid w:val="56FC6CE5"/>
    <w:rsid w:val="56FF2D86"/>
    <w:rsid w:val="571F724A"/>
    <w:rsid w:val="57805B1E"/>
    <w:rsid w:val="579B0621"/>
    <w:rsid w:val="57AC3CC3"/>
    <w:rsid w:val="57D41D25"/>
    <w:rsid w:val="57FE160E"/>
    <w:rsid w:val="58100FFC"/>
    <w:rsid w:val="5857512A"/>
    <w:rsid w:val="586F6CE4"/>
    <w:rsid w:val="588B6F98"/>
    <w:rsid w:val="58982D68"/>
    <w:rsid w:val="58A02244"/>
    <w:rsid w:val="58A62D18"/>
    <w:rsid w:val="58B775CC"/>
    <w:rsid w:val="58D0116F"/>
    <w:rsid w:val="5A034A86"/>
    <w:rsid w:val="5A435025"/>
    <w:rsid w:val="5A5D728A"/>
    <w:rsid w:val="5AA80549"/>
    <w:rsid w:val="5B094481"/>
    <w:rsid w:val="5B53012E"/>
    <w:rsid w:val="5BA230B7"/>
    <w:rsid w:val="5BBD5759"/>
    <w:rsid w:val="5BC82DB6"/>
    <w:rsid w:val="5CAD3375"/>
    <w:rsid w:val="5D5A041C"/>
    <w:rsid w:val="5D886E8B"/>
    <w:rsid w:val="5DA5535B"/>
    <w:rsid w:val="5DDC5E8E"/>
    <w:rsid w:val="5E1C1069"/>
    <w:rsid w:val="5E70507C"/>
    <w:rsid w:val="5E7D691D"/>
    <w:rsid w:val="5E9A7920"/>
    <w:rsid w:val="5EA94026"/>
    <w:rsid w:val="5EB22BA8"/>
    <w:rsid w:val="5F7420D4"/>
    <w:rsid w:val="5F94195C"/>
    <w:rsid w:val="5FDF4359"/>
    <w:rsid w:val="5FF064C5"/>
    <w:rsid w:val="5FF11F12"/>
    <w:rsid w:val="5FFD138B"/>
    <w:rsid w:val="6001450E"/>
    <w:rsid w:val="602361B7"/>
    <w:rsid w:val="60837066"/>
    <w:rsid w:val="60CC62A5"/>
    <w:rsid w:val="60F246D5"/>
    <w:rsid w:val="60F94AA6"/>
    <w:rsid w:val="611778D9"/>
    <w:rsid w:val="611E2EDC"/>
    <w:rsid w:val="613B2F91"/>
    <w:rsid w:val="61492F50"/>
    <w:rsid w:val="616D4BA1"/>
    <w:rsid w:val="625A70E2"/>
    <w:rsid w:val="627618F1"/>
    <w:rsid w:val="62A36AAC"/>
    <w:rsid w:val="62F0715F"/>
    <w:rsid w:val="62FA763F"/>
    <w:rsid w:val="63AB6759"/>
    <w:rsid w:val="63E86AF5"/>
    <w:rsid w:val="664B1971"/>
    <w:rsid w:val="66533F44"/>
    <w:rsid w:val="667B06E7"/>
    <w:rsid w:val="667C5132"/>
    <w:rsid w:val="66A14327"/>
    <w:rsid w:val="672C738A"/>
    <w:rsid w:val="673C4DCE"/>
    <w:rsid w:val="674647FB"/>
    <w:rsid w:val="67955879"/>
    <w:rsid w:val="67F01616"/>
    <w:rsid w:val="686F63BE"/>
    <w:rsid w:val="68CD5218"/>
    <w:rsid w:val="69182C0B"/>
    <w:rsid w:val="694036BC"/>
    <w:rsid w:val="694E0E79"/>
    <w:rsid w:val="6985092D"/>
    <w:rsid w:val="69C139EC"/>
    <w:rsid w:val="69E623BC"/>
    <w:rsid w:val="6A6235B7"/>
    <w:rsid w:val="6A9F2919"/>
    <w:rsid w:val="6B9507EE"/>
    <w:rsid w:val="6B980D09"/>
    <w:rsid w:val="6BC524A5"/>
    <w:rsid w:val="6BC71DE1"/>
    <w:rsid w:val="6C196368"/>
    <w:rsid w:val="6C254D14"/>
    <w:rsid w:val="6C507928"/>
    <w:rsid w:val="6C610E6E"/>
    <w:rsid w:val="6CC94E87"/>
    <w:rsid w:val="6CF856AC"/>
    <w:rsid w:val="6CFA3457"/>
    <w:rsid w:val="6D02061A"/>
    <w:rsid w:val="6D235AF0"/>
    <w:rsid w:val="6D702504"/>
    <w:rsid w:val="6DA66DF3"/>
    <w:rsid w:val="6DC84DAA"/>
    <w:rsid w:val="6DFA5920"/>
    <w:rsid w:val="6E7F2306"/>
    <w:rsid w:val="6E914928"/>
    <w:rsid w:val="6E9C3E88"/>
    <w:rsid w:val="6ECA74D3"/>
    <w:rsid w:val="6EEB341E"/>
    <w:rsid w:val="6F1C6462"/>
    <w:rsid w:val="701454F6"/>
    <w:rsid w:val="70FF3672"/>
    <w:rsid w:val="714C7EEE"/>
    <w:rsid w:val="71590056"/>
    <w:rsid w:val="71920663"/>
    <w:rsid w:val="71B61B1C"/>
    <w:rsid w:val="71FA39FF"/>
    <w:rsid w:val="72F249A3"/>
    <w:rsid w:val="734A568F"/>
    <w:rsid w:val="739100AC"/>
    <w:rsid w:val="73A02941"/>
    <w:rsid w:val="73AE76D8"/>
    <w:rsid w:val="73B12029"/>
    <w:rsid w:val="73DD27A6"/>
    <w:rsid w:val="73EF4953"/>
    <w:rsid w:val="74653229"/>
    <w:rsid w:val="7488583B"/>
    <w:rsid w:val="752467B3"/>
    <w:rsid w:val="761C0BB6"/>
    <w:rsid w:val="76280676"/>
    <w:rsid w:val="773F0C02"/>
    <w:rsid w:val="77BB7605"/>
    <w:rsid w:val="780C71C4"/>
    <w:rsid w:val="79283E0B"/>
    <w:rsid w:val="79443502"/>
    <w:rsid w:val="794937AF"/>
    <w:rsid w:val="795D3E13"/>
    <w:rsid w:val="79976FAB"/>
    <w:rsid w:val="79A434C0"/>
    <w:rsid w:val="79EC4FBD"/>
    <w:rsid w:val="7A5C074B"/>
    <w:rsid w:val="7B197C05"/>
    <w:rsid w:val="7B617FF9"/>
    <w:rsid w:val="7B7E1B28"/>
    <w:rsid w:val="7BAD7CCC"/>
    <w:rsid w:val="7C42096C"/>
    <w:rsid w:val="7C906917"/>
    <w:rsid w:val="7C9E7A01"/>
    <w:rsid w:val="7CBD5FE9"/>
    <w:rsid w:val="7D24098A"/>
    <w:rsid w:val="7D4B2DC1"/>
    <w:rsid w:val="7D646E4D"/>
    <w:rsid w:val="7D7D4E70"/>
    <w:rsid w:val="7DB443EE"/>
    <w:rsid w:val="7E3E5D25"/>
    <w:rsid w:val="7F4C3DE7"/>
    <w:rsid w:val="7F6B3C41"/>
    <w:rsid w:val="7F7D28A0"/>
    <w:rsid w:val="7FBD0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5">
    <w:name w:val="heading 3"/>
    <w:basedOn w:val="1"/>
    <w:next w:val="1"/>
    <w:unhideWhenUsed/>
    <w:qFormat/>
    <w:uiPriority w:val="0"/>
    <w:pPr>
      <w:keepNext/>
      <w:keepLines/>
      <w:spacing w:before="240" w:line="360" w:lineRule="auto"/>
      <w:outlineLvl w:val="2"/>
    </w:pPr>
    <w:rPr>
      <w:b/>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annotation text"/>
    <w:basedOn w:val="1"/>
    <w:qFormat/>
    <w:uiPriority w:val="0"/>
    <w:pPr>
      <w:jc w:val="left"/>
    </w:pPr>
  </w:style>
  <w:style w:type="paragraph" w:styleId="7">
    <w:name w:val="Body Text Indent"/>
    <w:basedOn w:val="1"/>
    <w:qFormat/>
    <w:uiPriority w:val="0"/>
    <w:pPr>
      <w:spacing w:line="560" w:lineRule="exact"/>
      <w:ind w:firstLine="600" w:firstLineChars="200"/>
    </w:pPr>
    <w:rPr>
      <w:rFonts w:ascii="仿宋_GB2312" w:hAnsi="ˎ̥" w:eastAsia="仿宋_GB2312"/>
      <w:sz w:val="30"/>
      <w:szCs w:val="30"/>
    </w:rPr>
  </w:style>
  <w:style w:type="paragraph" w:styleId="8">
    <w:name w:val="Plain Text"/>
    <w:basedOn w:val="1"/>
    <w:unhideWhenUsed/>
    <w:qFormat/>
    <w:uiPriority w:val="99"/>
    <w:rPr>
      <w:rFonts w:ascii="宋体" w:cs="Courier New"/>
      <w:szCs w:val="21"/>
    </w:rPr>
  </w:style>
  <w:style w:type="paragraph" w:styleId="9">
    <w:name w:val="Balloon Text"/>
    <w:basedOn w:val="1"/>
    <w:qFormat/>
    <w:uiPriority w:val="0"/>
    <w:rPr>
      <w:sz w:val="18"/>
    </w:rPr>
  </w:style>
  <w:style w:type="paragraph" w:styleId="10">
    <w:name w:val="footer"/>
    <w:basedOn w:val="1"/>
    <w:next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2"/>
    <w:basedOn w:val="1"/>
    <w:qFormat/>
    <w:uiPriority w:val="0"/>
    <w:pPr>
      <w:spacing w:after="120" w:line="480" w:lineRule="auto"/>
    </w:pPr>
    <w:rPr>
      <w:szCs w:val="24"/>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4">
    <w:name w:val="Title"/>
    <w:basedOn w:val="1"/>
    <w:next w:val="15"/>
    <w:qFormat/>
    <w:uiPriority w:val="0"/>
    <w:pPr>
      <w:jc w:val="center"/>
      <w:outlineLvl w:val="0"/>
    </w:pPr>
    <w:rPr>
      <w:rFonts w:ascii="Arial" w:hAnsi="Arial"/>
      <w:b/>
      <w:sz w:val="32"/>
    </w:rPr>
  </w:style>
  <w:style w:type="paragraph" w:customStyle="1" w:styleId="15">
    <w:name w:val="正文文本缩进1"/>
    <w:basedOn w:val="1"/>
    <w:qFormat/>
    <w:uiPriority w:val="0"/>
    <w:pPr>
      <w:spacing w:line="570" w:lineRule="exact"/>
      <w:ind w:firstLine="616" w:firstLineChars="200"/>
    </w:pPr>
    <w:rPr>
      <w:spacing w:val="-6"/>
    </w:rPr>
  </w:style>
  <w:style w:type="character" w:styleId="18">
    <w:name w:val="Strong"/>
    <w:basedOn w:val="17"/>
    <w:qFormat/>
    <w:uiPriority w:val="22"/>
    <w:rPr>
      <w:b/>
      <w:bCs/>
    </w:rPr>
  </w:style>
  <w:style w:type="character" w:styleId="19">
    <w:name w:val="page number"/>
    <w:qFormat/>
    <w:uiPriority w:val="0"/>
  </w:style>
  <w:style w:type="character" w:styleId="20">
    <w:name w:val="Hyperlink"/>
    <w:basedOn w:val="17"/>
    <w:qFormat/>
    <w:uiPriority w:val="0"/>
    <w:rPr>
      <w:color w:val="0000FF"/>
      <w:u w:val="single"/>
    </w:rPr>
  </w:style>
  <w:style w:type="paragraph" w:customStyle="1" w:styleId="21">
    <w:name w:val="三级1"/>
    <w:basedOn w:val="5"/>
    <w:next w:val="14"/>
    <w:qFormat/>
    <w:uiPriority w:val="0"/>
    <w:pPr>
      <w:tabs>
        <w:tab w:val="left" w:pos="2422"/>
      </w:tabs>
      <w:ind w:left="2422" w:hanging="720"/>
    </w:pPr>
    <w:rPr>
      <w:rFonts w:ascii="宋体" w:hAnsi="宋体"/>
      <w:spacing w:val="10"/>
      <w:sz w:val="24"/>
      <w:szCs w:val="24"/>
    </w:rPr>
  </w:style>
  <w:style w:type="paragraph" w:styleId="22">
    <w:name w:val="List Paragraph"/>
    <w:basedOn w:val="1"/>
    <w:qFormat/>
    <w:uiPriority w:val="34"/>
    <w:pPr>
      <w:widowControl/>
      <w:ind w:left="720"/>
      <w:contextualSpacing/>
      <w:jc w:val="left"/>
    </w:pPr>
    <w:rPr>
      <w:rFonts w:ascii="Calibri" w:hAnsi="Calibri"/>
      <w:kern w:val="0"/>
      <w:sz w:val="24"/>
      <w:szCs w:val="24"/>
    </w:rPr>
  </w:style>
  <w:style w:type="paragraph" w:customStyle="1" w:styleId="23">
    <w:name w:val="msolistparagraph"/>
    <w:basedOn w:val="1"/>
    <w:qFormat/>
    <w:uiPriority w:val="0"/>
    <w:pPr>
      <w:ind w:firstLine="420" w:firstLineChars="200"/>
    </w:pPr>
    <w:rPr>
      <w:rFonts w:ascii="Calibri" w:hAnsi="Calibri"/>
      <w:szCs w:val="22"/>
    </w:rPr>
  </w:style>
  <w:style w:type="character" w:customStyle="1" w:styleId="24">
    <w:name w:val="font11"/>
    <w:basedOn w:val="17"/>
    <w:qFormat/>
    <w:uiPriority w:val="0"/>
    <w:rPr>
      <w:rFonts w:hint="eastAsia" w:ascii="宋体" w:hAnsi="宋体" w:eastAsia="宋体" w:cs="宋体"/>
      <w:b/>
      <w:color w:val="000000"/>
      <w:sz w:val="21"/>
      <w:szCs w:val="21"/>
      <w:u w:val="none"/>
    </w:rPr>
  </w:style>
  <w:style w:type="character" w:customStyle="1" w:styleId="25">
    <w:name w:val="font31"/>
    <w:basedOn w:val="17"/>
    <w:qFormat/>
    <w:uiPriority w:val="0"/>
    <w:rPr>
      <w:rFonts w:hint="default" w:ascii="仿宋_GB2312" w:eastAsia="仿宋_GB2312" w:cs="仿宋_GB2312"/>
      <w:b/>
      <w:color w:val="000000"/>
      <w:sz w:val="21"/>
      <w:szCs w:val="21"/>
      <w:u w:val="none"/>
    </w:rPr>
  </w:style>
  <w:style w:type="character" w:customStyle="1" w:styleId="26">
    <w:name w:val="font01"/>
    <w:basedOn w:val="17"/>
    <w:qFormat/>
    <w:uiPriority w:val="0"/>
    <w:rPr>
      <w:rFonts w:hint="eastAsia" w:ascii="宋体" w:hAnsi="宋体" w:eastAsia="宋体" w:cs="宋体"/>
      <w:color w:val="000000"/>
      <w:sz w:val="20"/>
      <w:szCs w:val="20"/>
      <w:u w:val="none"/>
    </w:rPr>
  </w:style>
  <w:style w:type="character" w:customStyle="1" w:styleId="27">
    <w:name w:val="font21"/>
    <w:basedOn w:val="17"/>
    <w:qFormat/>
    <w:uiPriority w:val="0"/>
    <w:rPr>
      <w:rFonts w:hint="eastAsia" w:ascii="黑体" w:hAnsi="宋体" w:eastAsia="黑体" w:cs="黑体"/>
      <w:color w:val="000000"/>
      <w:sz w:val="20"/>
      <w:szCs w:val="20"/>
      <w:u w:val="none"/>
    </w:rPr>
  </w:style>
  <w:style w:type="character" w:customStyle="1" w:styleId="28">
    <w:name w:val="apple-converted-space"/>
    <w:basedOn w:val="17"/>
    <w:qFormat/>
    <w:uiPriority w:val="0"/>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37</Pages>
  <Words>3579</Words>
  <Characters>20403</Characters>
  <Lines>170</Lines>
  <Paragraphs>47</Paragraphs>
  <TotalTime>11</TotalTime>
  <ScaleCrop>false</ScaleCrop>
  <LinksUpToDate>false</LinksUpToDate>
  <CharactersWithSpaces>23935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2021-04-20T01:33:00Z</dcterms:created>
  <dc:creator>陈月明</dc:creator>
  <cp:lastModifiedBy>王海春</cp:lastModifiedBy>
  <cp:lastPrinted>2025-04-30T00:49:00Z</cp:lastPrinted>
  <dcterms:modified xsi:type="dcterms:W3CDTF">2026-04-30T03:05:13Z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B5C745B1B52A49C1ACCF5EDA1FA4CFCB</vt:lpwstr>
  </property>
</Properties>
</file>