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苏银理财恒源周开放1号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苏银理财恒源周开放1号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2017年11月24日</w:t>
      </w:r>
      <w:r>
        <w:rPr>
          <w:rFonts w:hint="eastAsia" w:ascii="楷体" w:hAnsi="楷体" w:eastAsia="楷体" w:cs="楷体"/>
        </w:rPr>
        <w:t>成立，于</w:t>
      </w:r>
      <w:r>
        <w:rPr>
          <w:rFonts w:hint="eastAsia" w:ascii="楷体" w:hAnsi="楷体" w:eastAsia="楷体" w:cs="楷体"/>
          <w:spacing w:val="-7"/>
        </w:rPr>
        <w:t>2017年11月24日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苏银理财恒源周开放1号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Z7003120000001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13,071,123,867.95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17,107,504,670.43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31000188000328510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18,563,349,045.96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108.51%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苏银理财恒源周开放1号A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1.308164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1.308164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1.80%-2.60%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1.308896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1.308896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1.85%-2.65%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1.313971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1.313971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1.95%-2.75%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1.308038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1.308038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1.314973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1.314973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苏银理财恒源周开放1号W</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1.306472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1.306472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1.80%-2.60%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苏银理财恒源周开放1号G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1.310986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1.310986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1.90%-2.70%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42.23%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8.35%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50.58%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49.42%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中国工商银行南京城南支行230308ZGCP181</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1,013,614,739.38</w:t>
            </w:r>
          </w:p>
        </w:tc>
        <w:tc>
          <w:tcPr>
            <w:tcW w:w="1800" w:type="dxa"/>
          </w:tcPr>
          <w:p>
            <w:pPr>
              <w:jc w:val="center"/>
              <w:rPr>
                <w:rFonts w:hint="eastAsia" w:ascii="楷体" w:hAnsi="楷体" w:eastAsia="楷体" w:cs="楷体"/>
                <w:sz w:val="22"/>
              </w:rPr>
            </w:pPr>
            <w:r>
              <w:rPr>
                <w:rFonts w:hint="eastAsia" w:ascii="楷体" w:hAnsi="楷体" w:eastAsia="楷体" w:cs="楷体"/>
                <w:sz w:val="22"/>
              </w:rPr>
              <w:t>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中国工商银行杭州庆春支行230224ZGCP181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1,013,485,315.83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220916工商银行无锡分行</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884,513,951.16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杭银优1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818,175,704.08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717,073,129.65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上银优1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561,575,972.35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21国开03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511,495,157.53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工商银行海州支行20（20230728）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477,834,114.12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工商银行宜兴支行20（20230728）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477,834,114.12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农业银行如皋市支行16（20230728）</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381,825,338.71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2.02%</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499,406,221.00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448,196,447.00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6,044,447.61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1,787,850.09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793,419,871.68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275,000,000.00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133,850,586.70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1,144,512,524.94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13,071,123,867.95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12,741,205,630.37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w:t>
      </w:r>
      <w:r>
        <w:rPr>
          <w:rFonts w:hint="eastAsia" w:ascii="楷体" w:hAnsi="楷体" w:cs="楷体"/>
          <w:lang w:eastAsia="zh-CN"/>
        </w:rPr>
        <w:t>、</w:t>
      </w:r>
      <w:r>
        <w:rPr>
          <w:rFonts w:hint="eastAsia" w:ascii="楷体" w:hAnsi="楷体" w:eastAsia="楷体" w:cs="楷体"/>
        </w:rPr>
        <w:t>投资运作情况</w:t>
      </w:r>
    </w:p>
    <w:p>
      <w:pPr>
        <w:rPr>
          <w:rFonts w:hint="eastAsia" w:ascii="楷体" w:hAnsi="楷体" w:eastAsia="楷体"/>
          <w:bCs/>
          <w:kern w:val="0"/>
          <w:sz w:val="21"/>
          <w:szCs w:val="21"/>
        </w:rPr>
      </w:pPr>
      <w:r>
        <w:rPr>
          <w:rFonts w:hint="eastAsia" w:ascii="楷体" w:hAnsi="楷体" w:eastAsia="楷体"/>
          <w:bCs/>
          <w:kern w:val="0"/>
          <w:sz w:val="21"/>
          <w:szCs w:val="21"/>
        </w:rPr>
        <w:t>1</w:t>
      </w:r>
      <w:r>
        <w:rPr>
          <w:rFonts w:hint="eastAsia" w:ascii="楷体" w:hAnsi="楷体" w:eastAsia="楷体"/>
          <w:bCs/>
          <w:kern w:val="0"/>
          <w:sz w:val="21"/>
          <w:szCs w:val="21"/>
          <w:lang w:eastAsia="zh-CN"/>
        </w:rPr>
        <w:t>、</w:t>
      </w:r>
      <w:r>
        <w:rPr>
          <w:rFonts w:hint="eastAsia" w:ascii="楷体" w:hAnsi="楷体" w:eastAsia="楷体"/>
          <w:bCs/>
          <w:kern w:val="0"/>
          <w:sz w:val="21"/>
          <w:szCs w:val="21"/>
        </w:rPr>
        <w:t>运作期回顾</w:t>
      </w:r>
    </w:p>
    <w:p>
      <w:pPr>
        <w:ind w:firstLine="420" w:firstLineChars="200"/>
        <w:rPr>
          <w:rFonts w:hint="default" w:ascii="楷体" w:hAnsi="楷体" w:eastAsia="楷体"/>
          <w:bCs/>
          <w:kern w:val="0"/>
          <w:sz w:val="21"/>
          <w:szCs w:val="21"/>
          <w:lang w:val="en-US" w:eastAsia="zh-CN"/>
        </w:rPr>
      </w:pPr>
      <w:r>
        <w:rPr>
          <w:rFonts w:hint="eastAsia" w:ascii="楷体" w:hAnsi="楷体" w:eastAsia="楷体"/>
          <w:bCs/>
          <w:kern w:val="0"/>
          <w:sz w:val="21"/>
          <w:szCs w:val="21"/>
          <w:lang w:val="en-US" w:eastAsia="zh-CN"/>
        </w:rPr>
        <w:t>2025年上半年债券市场波动</w:t>
      </w:r>
      <w:bookmarkStart w:id="1" w:name="_GoBack"/>
      <w:bookmarkEnd w:id="1"/>
      <w:r>
        <w:rPr>
          <w:rFonts w:hint="eastAsia" w:ascii="楷体" w:hAnsi="楷体" w:eastAsia="楷体"/>
          <w:bCs/>
          <w:kern w:val="0"/>
          <w:sz w:val="21"/>
          <w:szCs w:val="21"/>
          <w:lang w:val="en-US" w:eastAsia="zh-CN"/>
        </w:rPr>
        <w:t>较大，年初至2月上旬，央行对长债关注度升温叠加汇率压力加大、资金面偏紧，债券短端利率和存单利率快速调整，曲线走平；2月上旬至3月中旬，资金面持续偏紧下货币政策宽松预期重估，降准降息预期收敛，基本面出现一些积极信号，股市震荡上行，债券收益率全面调整，长端、超长端调整较多，曲线走陡；3月中旬至4月上旬，央行展示出呵护态度，债市基本完成对透支行情的修正后，叠加配置盘买入债券，债券收益率整体转为下行，随后美国对等关税大超预期，债市下行幅度加大。4月上旬至6月底，中美关税摩擦缓和，降准降息落地，资金面整体平稳，债市收益率震荡下行。</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产品的资产配置策略上选择高评级、高流动性资产，组合久期适当。同时，根据市场不同阶段的变化，通过内部审慎的信用分析方法对可选债券品种进行筛选，基于宏观经济形势和个券信用变化，动态调整组合内各行业、发行人的投资比例。在控制组合信用风险暴露的前提下，提升组合收益。自产品成立以来，管理人在控制久期的前提下，择机配置中高评级信用类资产、稳健的存款类资产。</w:t>
      </w:r>
    </w:p>
    <w:p>
      <w:pPr>
        <w:ind w:firstLine="420" w:firstLineChars="200"/>
        <w:rPr>
          <w:rFonts w:hint="eastAsia" w:ascii="楷体" w:hAnsi="楷体" w:eastAsia="楷体"/>
          <w:bCs/>
          <w:kern w:val="0"/>
          <w:sz w:val="21"/>
          <w:szCs w:val="21"/>
        </w:rPr>
      </w:pPr>
    </w:p>
    <w:p>
      <w:pPr>
        <w:rPr>
          <w:rFonts w:hint="eastAsia" w:ascii="楷体" w:hAnsi="楷体" w:eastAsia="楷体"/>
          <w:bCs/>
          <w:kern w:val="0"/>
          <w:sz w:val="21"/>
          <w:szCs w:val="21"/>
        </w:rPr>
      </w:pPr>
      <w:r>
        <w:rPr>
          <w:rFonts w:hint="eastAsia" w:ascii="楷体" w:hAnsi="楷体" w:eastAsia="楷体"/>
          <w:bCs/>
          <w:kern w:val="0"/>
          <w:sz w:val="21"/>
          <w:szCs w:val="21"/>
        </w:rPr>
        <w:t>2、后市展望及下阶段投资策略</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我司针对产品特性，建立了完备的风险管控体系，对信用风险、市场风险和流动性风险均有了充分的管理预案。信用风险方面，我司定期排查持仓债券，目前持仓债券信用情况良好。</w:t>
      </w:r>
      <w:r>
        <w:rPr>
          <w:rFonts w:hint="eastAsia" w:ascii="楷体" w:hAnsi="楷体" w:eastAsia="楷体"/>
          <w:bCs/>
          <w:kern w:val="0"/>
          <w:sz w:val="21"/>
          <w:szCs w:val="21"/>
          <w:lang w:val="en-US" w:eastAsia="zh-CN"/>
        </w:rPr>
        <w:t>债券市场扰动因素逐渐增多</w:t>
      </w:r>
      <w:r>
        <w:rPr>
          <w:rFonts w:hint="eastAsia" w:ascii="楷体" w:hAnsi="楷体" w:eastAsia="楷体"/>
          <w:bCs/>
          <w:kern w:val="0"/>
          <w:sz w:val="21"/>
          <w:szCs w:val="21"/>
        </w:rPr>
        <w:t>，</w:t>
      </w:r>
      <w:r>
        <w:rPr>
          <w:rFonts w:hint="eastAsia" w:ascii="楷体" w:hAnsi="楷体" w:eastAsia="楷体"/>
          <w:bCs/>
          <w:kern w:val="0"/>
          <w:sz w:val="21"/>
          <w:szCs w:val="21"/>
          <w:lang w:val="en-US" w:eastAsia="zh-CN"/>
        </w:rPr>
        <w:t>叠加</w:t>
      </w:r>
      <w:r>
        <w:rPr>
          <w:rFonts w:hint="eastAsia" w:ascii="楷体" w:hAnsi="楷体" w:eastAsia="楷体"/>
          <w:bCs/>
          <w:kern w:val="0"/>
          <w:sz w:val="21"/>
          <w:szCs w:val="21"/>
        </w:rPr>
        <w:t>股市回暖带动市场风险偏好回升</w:t>
      </w:r>
      <w:r>
        <w:rPr>
          <w:rFonts w:hint="eastAsia" w:ascii="楷体" w:hAnsi="楷体" w:eastAsia="楷体"/>
          <w:bCs/>
          <w:kern w:val="0"/>
          <w:sz w:val="21"/>
          <w:szCs w:val="21"/>
          <w:lang w:eastAsia="zh-CN"/>
        </w:rPr>
        <w:t>，</w:t>
      </w:r>
      <w:r>
        <w:rPr>
          <w:rFonts w:hint="eastAsia" w:ascii="楷体" w:hAnsi="楷体" w:eastAsia="楷体"/>
          <w:bCs/>
          <w:kern w:val="0"/>
          <w:sz w:val="21"/>
          <w:szCs w:val="21"/>
          <w:lang w:val="en-US" w:eastAsia="zh-CN"/>
        </w:rPr>
        <w:t>股债跷跷板效应明显，债券市场</w:t>
      </w:r>
      <w:r>
        <w:rPr>
          <w:rFonts w:hint="eastAsia" w:ascii="楷体" w:hAnsi="楷体" w:eastAsia="楷体"/>
          <w:bCs/>
          <w:kern w:val="0"/>
          <w:sz w:val="21"/>
          <w:szCs w:val="21"/>
        </w:rPr>
        <w:t>期间波动加大或为常态，</w:t>
      </w:r>
      <w:r>
        <w:rPr>
          <w:rFonts w:hint="eastAsia" w:ascii="楷体" w:hAnsi="楷体" w:eastAsia="楷体"/>
          <w:bCs/>
          <w:kern w:val="0"/>
          <w:sz w:val="21"/>
          <w:szCs w:val="21"/>
          <w:lang w:val="en-US" w:eastAsia="zh-CN"/>
        </w:rPr>
        <w:t>产品周期封闭</w:t>
      </w:r>
      <w:r>
        <w:rPr>
          <w:rFonts w:hint="eastAsia" w:ascii="楷体" w:hAnsi="楷体" w:eastAsia="楷体"/>
          <w:bCs/>
          <w:kern w:val="0"/>
          <w:sz w:val="21"/>
          <w:szCs w:val="21"/>
        </w:rPr>
        <w:t>运作期间可灵活调整持仓久期获取收益。</w:t>
      </w:r>
    </w:p>
    <w:p>
      <w:pPr>
        <w:ind w:firstLine="420" w:firstLineChars="200"/>
        <w:rPr>
          <w:rFonts w:hint="eastAsia" w:ascii="楷体" w:hAnsi="楷体" w:eastAsia="楷体"/>
          <w:bCs/>
          <w:kern w:val="0"/>
          <w:sz w:val="21"/>
          <w:szCs w:val="21"/>
        </w:rPr>
      </w:pPr>
    </w:p>
    <w:p>
      <w:pPr>
        <w:rPr>
          <w:rFonts w:hint="eastAsia" w:ascii="楷体" w:hAnsi="楷体" w:eastAsia="楷体"/>
          <w:bCs/>
          <w:kern w:val="0"/>
          <w:sz w:val="21"/>
          <w:szCs w:val="21"/>
        </w:rPr>
      </w:pPr>
      <w:r>
        <w:rPr>
          <w:rFonts w:hint="eastAsia" w:ascii="楷体" w:hAnsi="楷体" w:eastAsia="楷体"/>
          <w:bCs/>
          <w:kern w:val="0"/>
          <w:sz w:val="21"/>
          <w:szCs w:val="21"/>
        </w:rPr>
        <w:t>3、流动性风险分析</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流动性风险方面，本产品持仓资产以标准化债权类资产为主，变现能力较强，同时注重调优持仓结构，确保流动性处于合理水平。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pacing w:val="9"/>
          <w:sz w:val="21"/>
        </w:rPr>
      </w:pP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decimal"/>
      <w:suff w:val="nothing"/>
      <w:lvlText w:val="%1）"/>
      <w:lvlJc w:val="left"/>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1F66DD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Office_10.8.2.7119_F1E327BC-269C-435d-A152-05C5408002CA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2025-08-01T01:50:06Z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67c12f-e828-4c56-988f-4ab588e7cc20}">
  <ds:schemaRefs/>
</ds:datastoreItem>
</file>

<file path=customXml/itemProps3.xml><?xml version="1.0" encoding="utf-8"?>
<ds:datastoreItem xmlns:ds="http://schemas.openxmlformats.org/officeDocument/2006/customXml" ds:itemID="{ec046a72-16a8-4535-a52b-36c8baa5184d}">
  <ds:schemaRefs/>
</ds:datastoreItem>
</file>

<file path=customXml/itemProps4.xml><?xml version="1.0" encoding="utf-8"?>
<ds:datastoreItem xmlns:ds="http://schemas.openxmlformats.org/officeDocument/2006/customXml" ds:itemID="{e5dc417a-3c9e-4f51-9d3d-3cc755e2cff5}">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5</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2025-08-22T07:36:26Z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C618EA5CE5E84C138C9C463C113BA816</vt:lpwstr>
  </property>
</Properties>
</file>