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苏银理财恒源月开放2号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苏银理财恒源月开放2号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2017年11月24日</w:t>
      </w:r>
      <w:r>
        <w:rPr>
          <w:rFonts w:hint="eastAsia" w:ascii="楷体" w:hAnsi="楷体" w:eastAsia="楷体" w:cs="楷体"/>
        </w:rPr>
        <w:t>成立，于</w:t>
      </w:r>
      <w:r>
        <w:rPr>
          <w:rFonts w:hint="eastAsia" w:ascii="楷体" w:hAnsi="楷体" w:eastAsia="楷体" w:cs="楷体"/>
          <w:spacing w:val="-7"/>
        </w:rPr>
        <w:t>2017年11月24日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苏银理财恒源月开放2号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Z7003120000002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13,033,643,251.99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17,590,304,250.71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31000188000328771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17,598,487,335.62</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100.05%</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苏银理财恒源月开放2号H2</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1.349993</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1.349993</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1.348909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1.348909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1.349624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1.349624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1.347998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1.347998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1.348772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1.348772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1.356367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1.356367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苏银理财恒源月开放2号A4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1.349863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1.349863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苏银理财恒源月开放2号（代发专享4）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1.349872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1.349872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1.349846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苏银理财恒源月开放2号E4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1.349914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1.349914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1.349832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1.349832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1.349722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1.349969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1.349969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1.349959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1.349959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苏银理财恒源月开放2号G3</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1.349707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1.349707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苏银理财恒源月开放2号G4</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1.349898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1.349898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苏银理财恒源月开放2号H1</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1.349607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苏银理财恒源月开放2号C2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1.350727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1.350727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苏银理财恒源月开放2号F2</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1.347803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1.347803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2.10%-3.10%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58.15%</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39.99%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1.86%</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60.01%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39.99%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924,348,927.44</w:t>
            </w:r>
          </w:p>
        </w:tc>
        <w:tc>
          <w:tcPr>
            <w:tcW w:w="1800" w:type="dxa"/>
          </w:tcPr>
          <w:p>
            <w:pPr>
              <w:jc w:val="center"/>
              <w:rPr>
                <w:rFonts w:hint="eastAsia" w:ascii="楷体" w:hAnsi="楷体" w:eastAsia="楷体" w:cs="楷体"/>
                <w:sz w:val="22"/>
              </w:rPr>
            </w:pPr>
            <w:r>
              <w:rPr>
                <w:rFonts w:hint="eastAsia" w:ascii="楷体" w:hAnsi="楷体" w:eastAsia="楷体" w:cs="楷体"/>
                <w:sz w:val="22"/>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工银泰享三年理财债券</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653,112,179.58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农行顺德欧浦皇庭20230830/10亿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395,819,980.64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南华瑞泰39个月定开A</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364,515,657.00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24建设银行CD255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203,203,584.30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24农发21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202,717,715.07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24洋旅02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201,509,041.10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25国开06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200,863,452.05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24中国银行CD036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199,864,002.74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农业银行顺德陈村20230830/5亿</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197,909,990.43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1.11%</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1,248,519,358.00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1,250,000,000.00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720,554,631.00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880,000,000.00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435,040,000.00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5,893,908.59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1,677,717.00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155,328,830.98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699,999,300.00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264,415,114.75</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13,033,643,251.99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11,989,093,082.48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pStyle w:val="4"/>
        <w:spacing w:before="0" w:line="240" w:lineRule="auto"/>
        <w:ind w:left="0" w:right="0" w:firstLine="420" w:firstLineChars="200"/>
        <w:jc w:val="left"/>
        <w:rPr>
          <w:rFonts w:hint="eastAsia" w:ascii="楷体" w:hAnsi="楷体" w:eastAsia="楷体" w:cs="宋体"/>
          <w:bCs/>
          <w:kern w:val="0"/>
          <w:sz w:val="21"/>
          <w:szCs w:val="21"/>
          <w:lang w:val="en-US" w:eastAsia="zh-CN" w:bidi="ar-SA"/>
        </w:rPr>
      </w:pPr>
      <w:r>
        <w:rPr>
          <w:rFonts w:hint="eastAsia" w:ascii="楷体" w:hAnsi="楷体" w:eastAsia="楷体" w:cs="宋体"/>
          <w:bCs/>
          <w:kern w:val="0"/>
          <w:sz w:val="21"/>
          <w:szCs w:val="21"/>
          <w:lang w:val="en-US" w:eastAsia="zh-CN" w:bidi="ar-SA"/>
        </w:rPr>
        <w:t>在精选信用、适度杠杆的基础上，保持较好的静态收益水平和抗波动能力。同时，加强市场研判，抓取确定性较高的市场机会，适度配置流动性好的交易性品种，获取市场红利以增厚产品收益。本产品持仓资产以标准化债权类资产为主，变现能力较强，同时注重资产组合管理，流动性处于合理充裕水平。</w:t>
      </w:r>
    </w:p>
    <w:p>
      <w:pPr>
        <w:pStyle w:val="4"/>
        <w:spacing w:before="0" w:line="240" w:lineRule="auto"/>
        <w:ind w:left="0" w:right="0" w:firstLine="0" w:firstLineChars="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pStyle w:val="4"/>
        <w:spacing w:before="0" w:line="240" w:lineRule="auto"/>
        <w:ind w:left="0" w:right="0" w:firstLine="420" w:firstLineChars="200"/>
        <w:jc w:val="left"/>
        <w:rPr>
          <w:rFonts w:hint="eastAsia" w:ascii="楷体" w:hAnsi="楷体" w:eastAsia="楷体" w:cs="宋体"/>
          <w:bCs/>
          <w:kern w:val="0"/>
          <w:sz w:val="21"/>
          <w:szCs w:val="21"/>
          <w:lang w:val="en-US" w:eastAsia="zh-CN" w:bidi="ar-SA"/>
        </w:rPr>
      </w:pPr>
      <w:r>
        <w:rPr>
          <w:rFonts w:hint="eastAsia" w:ascii="楷体" w:hAnsi="楷体" w:eastAsia="楷体" w:cs="宋体"/>
          <w:bCs/>
          <w:kern w:val="0"/>
          <w:sz w:val="21"/>
          <w:szCs w:val="21"/>
          <w:lang w:val="en-US" w:eastAsia="zh-CN" w:bidi="ar-SA"/>
        </w:rPr>
        <w:t>未来，根据市场动态变化，控制组合久期处于合理区间。资产配置上兼顾安全性、流动性和收益性，坚守风险合规底线，强化投资研究，紧密跟踪市场，致力于为广大投资者创造长期稳健的投资回报。</w:t>
      </w:r>
    </w:p>
    <w:p>
      <w:pPr>
        <w:pStyle w:val="4"/>
        <w:spacing w:before="0" w:line="240" w:lineRule="auto"/>
        <w:ind w:left="0" w:right="0" w:firstLine="0" w:firstLineChars="0"/>
        <w:jc w:val="both"/>
        <w:rPr>
          <w:rFonts w:hint="eastAsia" w:ascii="楷体" w:hAnsi="楷体" w:eastAsia="楷体" w:cs="楷体"/>
          <w:spacing w:val="9"/>
          <w:sz w:val="21"/>
        </w:rPr>
      </w:pPr>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pStyle w:val="4"/>
        <w:spacing w:before="0" w:line="240" w:lineRule="auto"/>
        <w:ind w:left="0" w:right="0" w:firstLine="420" w:firstLineChars="200"/>
        <w:jc w:val="left"/>
        <w:rPr>
          <w:rFonts w:hint="eastAsia" w:ascii="楷体" w:hAnsi="楷体" w:eastAsia="楷体" w:cs="宋体"/>
          <w:bCs/>
          <w:kern w:val="0"/>
          <w:sz w:val="21"/>
          <w:szCs w:val="21"/>
          <w:lang w:val="en-US" w:eastAsia="zh-CN" w:bidi="ar-SA"/>
        </w:rPr>
      </w:pPr>
      <w:r>
        <w:rPr>
          <w:rFonts w:hint="eastAsia" w:ascii="楷体" w:hAnsi="楷体" w:eastAsia="楷体" w:cs="宋体"/>
          <w:bCs/>
          <w:kern w:val="0"/>
          <w:sz w:val="21"/>
          <w:szCs w:val="21"/>
          <w:lang w:val="en-US" w:eastAsia="zh-CN" w:bidi="ar-SA"/>
        </w:rPr>
        <w:t>本产品主要配置优质标准化债权类资产，变现能力较强，通过资负久期管理、杠杆规模管理、流动性指标监测等多项措施持续加强流动性管理，有效控制产品的流动性风险。</w:t>
      </w:r>
    </w:p>
    <w:p>
      <w:pPr>
        <w:pStyle w:val="4"/>
        <w:spacing w:before="0" w:line="240" w:lineRule="auto"/>
        <w:ind w:left="0" w:right="0" w:firstLine="0" w:firstLineChars="0"/>
        <w:rPr>
          <w:rFonts w:hint="eastAsia" w:ascii="楷体" w:hAnsi="楷体" w:eastAsia="楷体" w:cs="楷体"/>
          <w:spacing w:val="9"/>
          <w:sz w:val="21"/>
        </w:rPr>
      </w:pPr>
      <w:bookmarkStart w:id="1" w:name="_GoBack"/>
      <w:bookmarkEnd w:id="1"/>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5845B2C"/>
    <w:rsid w:val="112F0D2F"/>
    <w:rsid w:val="30FC2EC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fcab51-f79e-45a9-881a-3c9aced1b7d6}">
  <ds:schemaRefs/>
</ds:datastoreItem>
</file>

<file path=customXml/itemProps3.xml><?xml version="1.0" encoding="utf-8"?>
<ds:datastoreItem xmlns:ds="http://schemas.openxmlformats.org/officeDocument/2006/customXml" ds:itemID="{75221461-2f9f-4208-946f-4a06cfc5cd07}">
  <ds:schemaRefs/>
</ds:datastoreItem>
</file>

<file path=customXml/itemProps4.xml><?xml version="1.0" encoding="utf-8"?>
<ds:datastoreItem xmlns:ds="http://schemas.openxmlformats.org/officeDocument/2006/customXml" ds:itemID="{e3b9d90a-d3ba-4087-8e1f-d717b4d7c1c1}">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2025-08-22T08:47:59Z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DB8F96FF1BD941B2B14696AA1491927E</vt:lpwstr>
  </property>
</Properties>
</file>