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苏银理财恒源日申1年持有1号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苏银理财恒源日申1年持有1号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2018年08月22日</w:t>
      </w:r>
      <w:r>
        <w:rPr>
          <w:rFonts w:hint="eastAsia" w:ascii="楷体" w:hAnsi="楷体" w:eastAsia="楷体" w:cs="楷体"/>
        </w:rPr>
        <w:t>成立，于</w:t>
      </w:r>
      <w:r>
        <w:rPr>
          <w:rFonts w:hint="eastAsia" w:ascii="楷体" w:hAnsi="楷体" w:eastAsia="楷体" w:cs="楷体"/>
          <w:spacing w:val="-7"/>
        </w:rPr>
        <w:t>2018年08月22日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苏银理财恒源日申1年持有1号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Z7003121000197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16,527,734,819.02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18,820,382,018.88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31000188000310350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19,132,563,368.16</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101.66%</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苏银理财恒源日申1年持有1号S</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1.139769</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1.139769</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苏银理财恒源日申1年持有1号Q</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1.141028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1.141028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苏银理财恒源日申1年持有1号（代发专享）</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1.139599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1.139599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2.25%-3.85%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苏银理财恒源日申1年持有1号Z</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1.140652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1.140652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苏银理财恒源日申1年持有1号A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1.147313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1.147313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苏银理财恒源日申1年持有1号F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1.131783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1.131783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苏银理财恒源日申1年持有1号C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1.136466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1.136466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苏银理财恒源日申1年持有1号B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1.134482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1.134482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2.25%-3.85%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苏银理财恒源日申1年持有1号G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1.139844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1.139844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苏银理财恒源日申1年持有1号D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1.136508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1.136508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2.35%-3.95%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81.93%</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5.90%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11.64%</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93.57%</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6.43%</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986,281,058.72</w:t>
            </w:r>
          </w:p>
        </w:tc>
        <w:tc>
          <w:tcPr>
            <w:tcW w:w="1800" w:type="dxa"/>
          </w:tcPr>
          <w:p>
            <w:pPr>
              <w:jc w:val="center"/>
              <w:rPr>
                <w:rFonts w:hint="eastAsia" w:ascii="楷体" w:hAnsi="楷体" w:eastAsia="楷体" w:cs="楷体"/>
                <w:sz w:val="22"/>
              </w:rPr>
            </w:pPr>
            <w:r>
              <w:rPr>
                <w:rFonts w:hint="eastAsia" w:ascii="楷体" w:hAnsi="楷体" w:eastAsia="楷体" w:cs="楷体"/>
                <w:sz w:val="22"/>
              </w:rPr>
              <w:t>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23附息国债23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411,769,866.89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24中飞租赁MTN001B</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323,031,996.58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25农业银行CD203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296,438,886.81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25工商银行CD135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296,194,320.82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25中信银行CD131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296,040,980.55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270,129,633.56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24工行二级资本债02BC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269,155,159.18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266,907,969.64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24工行永续债01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259,635,695.21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1.36%</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江苏信托安源4号集合资金信托计划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145,048,430.00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145,000,000.00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130,103,926.00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132,000,000.00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211,585,415.00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212,000,000.00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华泰证券(上海)资产管理有限公司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ZZGL202505211221</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华泰银泰精选16号集合资产管理计划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100,000,000.00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华泰证券股份有限公司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72,095,657.62</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7,666,771.11</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2,043,073.59</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158,680,074.20</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苏银理财恒源日申1年持有1号B</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164,299,840.20</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16,527,734,819.02</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18,389,015,574.31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w:t>
      </w:r>
      <w:r>
        <w:rPr>
          <w:rFonts w:hint="eastAsia" w:ascii="楷体" w:hAnsi="楷体" w:cs="楷体"/>
          <w:lang w:eastAsia="zh-CN"/>
        </w:rPr>
        <w:t>、</w:t>
      </w:r>
      <w:r>
        <w:rPr>
          <w:rFonts w:hint="eastAsia" w:ascii="楷体" w:hAnsi="楷体" w:eastAsia="楷体" w:cs="楷体"/>
        </w:rPr>
        <w:t>投资运作情况</w:t>
      </w:r>
    </w:p>
    <w:p>
      <w:pPr>
        <w:pStyle w:val="2"/>
        <w:rPr>
          <w:rFonts w:ascii="楷体" w:hAnsi="楷体" w:cs="Times New Roman"/>
          <w:b w:val="0"/>
          <w:sz w:val="21"/>
        </w:rPr>
      </w:pPr>
      <w:r>
        <w:rPr>
          <w:rFonts w:hint="eastAsia" w:ascii="楷体" w:hAnsi="楷体" w:cs="Times New Roman"/>
          <w:b w:val="0"/>
          <w:sz w:val="21"/>
          <w:lang w:val="en-US" w:eastAsia="zh-CN"/>
        </w:rPr>
        <w:t>1、</w:t>
      </w:r>
      <w:r>
        <w:rPr>
          <w:rFonts w:ascii="楷体" w:hAnsi="楷体" w:cs="Times New Roman"/>
          <w:b w:val="0"/>
          <w:sz w:val="21"/>
        </w:rPr>
        <w:t>运作期回顾</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default" w:ascii="Times New Roman" w:hAnsi="Times New Roman" w:cs="Times New Roman"/>
          <w:b w:val="0"/>
          <w:sz w:val="21"/>
        </w:rPr>
      </w:pPr>
      <w:r>
        <w:rPr>
          <w:rFonts w:hint="eastAsia" w:ascii="楷体" w:hAnsi="楷体" w:cs="Times New Roman"/>
          <w:b w:val="0"/>
          <w:sz w:val="21"/>
          <w:lang w:val="en-US" w:eastAsia="zh-CN"/>
        </w:rPr>
        <w:t>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p>
    <w:p>
      <w:pPr>
        <w:pStyle w:val="2"/>
        <w:keepNext w:val="0"/>
        <w:keepLines w:val="0"/>
        <w:pageBreakBefore w:val="0"/>
        <w:widowControl w:val="0"/>
        <w:kinsoku/>
        <w:wordWrap/>
        <w:overflowPunct/>
        <w:topLinePunct w:val="0"/>
        <w:autoSpaceDE w:val="0"/>
        <w:autoSpaceDN w:val="0"/>
        <w:bidi w:val="0"/>
        <w:adjustRightInd w:val="0"/>
        <w:snapToGrid/>
        <w:ind w:left="119" w:firstLine="420" w:firstLineChars="200"/>
        <w:jc w:val="both"/>
        <w:textAlignment w:val="auto"/>
        <w:rPr>
          <w:rFonts w:hint="eastAsia" w:ascii="楷体" w:hAnsi="楷体" w:cs="Times New Roman"/>
          <w:b w:val="0"/>
          <w:sz w:val="21"/>
        </w:rPr>
      </w:pPr>
      <w:r>
        <w:rPr>
          <w:rFonts w:hint="eastAsia" w:ascii="楷体" w:hAnsi="楷体" w:cs="Times New Roman"/>
          <w:b w:val="0"/>
          <w:sz w:val="21"/>
          <w:lang w:val="en-US" w:eastAsia="zh-CN"/>
        </w:rPr>
        <w:t>产品</w:t>
      </w:r>
      <w:r>
        <w:rPr>
          <w:rFonts w:hint="eastAsia" w:ascii="楷体" w:hAnsi="楷体" w:cs="Times New Roman"/>
          <w:b w:val="0"/>
          <w:sz w:val="21"/>
        </w:rPr>
        <w:t>通过对国内外宏观经济态势、利率走势、收益率曲线变化趋势和信用风险变化等因素进行综合分析，</w:t>
      </w:r>
      <w:r>
        <w:rPr>
          <w:rFonts w:hint="eastAsia" w:ascii="楷体" w:hAnsi="楷体" w:cs="Times New Roman"/>
          <w:b w:val="0"/>
          <w:sz w:val="21"/>
          <w:lang w:val="en-US" w:eastAsia="zh-CN"/>
        </w:rPr>
        <w:t>上半年</w:t>
      </w:r>
      <w:r>
        <w:rPr>
          <w:rFonts w:hint="eastAsia" w:ascii="楷体" w:hAnsi="楷体" w:cs="Times New Roman"/>
          <w:b w:val="0"/>
          <w:sz w:val="21"/>
        </w:rPr>
        <w:t>重点增加利率债交易，力求提高组合收益。</w:t>
      </w:r>
    </w:p>
    <w:p>
      <w:pPr>
        <w:rPr>
          <w:rFonts w:hint="eastAsia" w:ascii="楷体" w:hAnsi="楷体" w:eastAsia="楷体" w:cs="Times New Roman"/>
          <w:b w:val="0"/>
          <w:bCs/>
          <w:kern w:val="0"/>
          <w:sz w:val="21"/>
          <w:szCs w:val="21"/>
          <w:lang w:val="en-US" w:eastAsia="zh-CN" w:bidi="ar-SA"/>
        </w:rPr>
      </w:pPr>
    </w:p>
    <w:p>
      <w:pPr>
        <w:pStyle w:val="2"/>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2、后市展望及下阶段投资策略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展望三季度，预计债市仍将延续胜率尚在、赔率不足的震荡行情。预计债券市场的主线在于负债端和政策导向。考虑到基本面中长期预期有所改善、机构久期整体偏长，长端利率的进一步大幅下行还需等待新的驱动要素。保持整体市场震荡观点，多看少动，静待赔率改善后的交易机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本组合将根据市场情况择机参与交易机会，致力于为广大投资者创造长期稳健的投资回报。</w:t>
      </w:r>
    </w:p>
    <w:p>
      <w:pPr>
        <w:rPr>
          <w:rFonts w:hint="eastAsia" w:ascii="楷体" w:hAnsi="楷体" w:eastAsia="楷体" w:cs="Times New Roman"/>
          <w:b w:val="0"/>
          <w:bCs/>
          <w:kern w:val="0"/>
          <w:sz w:val="21"/>
          <w:szCs w:val="21"/>
          <w:lang w:val="en-US" w:eastAsia="zh-CN" w:bidi="ar-SA"/>
        </w:rPr>
      </w:pPr>
    </w:p>
    <w:p>
      <w:pPr>
        <w:pStyle w:val="2"/>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3、流动性风险分析</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spacing w:val="9"/>
          <w:sz w:val="21"/>
        </w:rPr>
      </w:pPr>
      <w:r>
        <w:rPr>
          <w:rFonts w:hint="eastAsia" w:ascii="楷体" w:hAnsi="楷体" w:eastAsia="楷体" w:cs="Times New Roman"/>
          <w:b w:val="0"/>
          <w:bCs/>
          <w:kern w:val="0"/>
          <w:sz w:val="21"/>
          <w:szCs w:val="21"/>
          <w:lang w:val="en-US" w:eastAsia="zh-CN" w:bidi="ar-SA"/>
        </w:rPr>
        <w:t>流动性风险方面，本产品持仓资产以标准化债权类资产为主，变现能力较强，同时注重调优持仓结构，确保流动性处于合理水平。</w:t>
      </w:r>
      <w:bookmarkStart w:id="1" w:name="_GoBack"/>
      <w:bookmarkEnd w:id="1"/>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3"/>
      <w:numFmt w:val="chineseCounting"/>
      <w:suff w:val="nothing"/>
      <w:lvlText w:val="（%1）"/>
      <w:lvlJc w:val="left"/>
      <w:rPr>
        <w:rFonts w:hint="eastAsia"/>
      </w:rPr>
    </w:lvl>
  </w:abstractNum>
  <w:abstractNum w:abstractNumId="1">
    <w:nsid w:val="03D62ECE"/>
    <w:multiLevelType w:val="singleLevel"/>
    <w:tmpl w:val="03D62ECE"/>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01B1795F"/>
    <w:rsid w:val="2005383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Office_10.8.2.7119_F1E327BC-269C-435d-A152-05C5408002CA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2025-08-01T01:50:06Z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826ea2-6295-40f7-b03e-dc25d178d120}">
  <ds:schemaRefs/>
</ds:datastoreItem>
</file>

<file path=customXml/itemProps3.xml><?xml version="1.0" encoding="utf-8"?>
<ds:datastoreItem xmlns:ds="http://schemas.openxmlformats.org/officeDocument/2006/customXml" ds:itemID="{ed605789-8dfa-483a-98d0-31314ce2d336}">
  <ds:schemaRefs/>
</ds:datastoreItem>
</file>

<file path=customXml/itemProps4.xml><?xml version="1.0" encoding="utf-8"?>
<ds:datastoreItem xmlns:ds="http://schemas.openxmlformats.org/officeDocument/2006/customXml" ds:itemID="{ad077e1b-56b5-4118-a7e2-329d21968e6c}">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5</Pages>
  <Words>2699</Words>
  <Characters>3654</Characters>
  <Lines>19</Lines>
  <Paragraphs>5</Paragraphs>
  <TotalTime>0</TotalTime>
  <ScaleCrop>false</ScaleCrop>
  <LinksUpToDate>false</LinksUpToDate>
  <CharactersWithSpaces>3662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2025-08-25T06:29:31Z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A64ADB74BBB74B5AB505947CF09E48D2</vt:lpwstr>
  </property>
</Properties>
</file>