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3.xml" ContentType="application/xml"/>
  <Override PartName="/customXml/item4.xml" ContentType="applicatio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mc:Ignorable="w14 wp14">
  <!-- Generated by Spire.Doc -->
  <w:body>
    <w:p>
      <w:pPr>
        <w:pStyle w:val="Normal(Web)"/>
        <w:spacing w:before="0" w:beforeAutospacing="0" w:after="0" w:afterAutospacing="0"/>
        <w:jc w:val="center"/>
        <w:rPr>
          <w:rFonts w:ascii="楷体" w:eastAsia="楷体" w:hAnsi="楷体" w:cs="楷体" w:hint="eastAsia"/>
          <w:b/>
          <w:sz w:val="36"/>
          <w:szCs w:val="36"/>
        </w:rPr>
      </w:pPr>
      <w:r>
        <w:rPr>
          <w:rFonts w:ascii="楷体" w:eastAsia="楷体" w:hAnsi="楷体" w:cs="楷体" w:hint="eastAsia"/>
          <w:b/>
          <w:sz w:val="36"/>
          <w:szCs w:val="36"/>
        </w:rPr>
        <w:t xml:space="preserve">“</w:t>
      </w:r>
      <w:r>
        <w:rPr>
          <w:rFonts w:ascii="楷体" w:eastAsia="楷体" w:hAnsi="楷体" w:cs="楷体" w:hint="eastAsia"/>
          <w:b/>
          <w:bCs/>
          <w:spacing w:val="-1"/>
          <w:sz w:val="36"/>
          <w:szCs w:val="36"/>
        </w:rPr>
        <w:t xml:space="preserve">苏银理财恒源6月定开7期</w:t>
      </w:r>
      <w:r>
        <w:rPr>
          <w:rFonts w:ascii="楷体" w:eastAsia="楷体" w:hAnsi="楷体" w:cs="楷体" w:hint="eastAsia"/>
          <w:b/>
          <w:sz w:val="36"/>
          <w:szCs w:val="36"/>
        </w:rPr>
        <w:t xml:space="preserve">”理财产品</w:t>
      </w:r>
    </w:p>
    <w:p>
      <w:pPr>
        <w:pStyle w:val="Normal(Web)"/>
        <w:spacing w:before="0" w:beforeAutospacing="0" w:after="0" w:afterAutospacing="0"/>
        <w:jc w:val="center"/>
        <w:rPr>
          <w:rFonts w:ascii="楷体" w:eastAsia="楷体" w:hAnsi="楷体" w:cs="楷体" w:hint="eastAsia"/>
          <w:b/>
          <w:sz w:val="36"/>
          <w:szCs w:val="36"/>
        </w:rPr>
      </w:pPr>
      <w:r>
        <w:rPr>
          <w:rFonts w:ascii="楷体" w:eastAsia="楷体" w:hAnsi="楷体" w:cs="楷体" w:hint="eastAsia"/>
          <w:b/>
          <w:bCs/>
          <w:spacing w:val="4"/>
          <w:sz w:val="36"/>
          <w:szCs w:val="36"/>
        </w:rPr>
        <w:t xml:space="preserve">2025年半年度</w:t>
      </w:r>
      <w:r>
        <w:rPr>
          <w:rFonts w:ascii="楷体" w:eastAsia="楷体" w:hAnsi="楷体" w:cs="楷体" w:hint="eastAsia"/>
          <w:b/>
          <w:sz w:val="36"/>
          <w:szCs w:val="36"/>
        </w:rPr>
        <w:t xml:space="preserve">投资管理报告</w:t>
      </w:r>
    </w:p>
    <w:p>
      <w:pPr>
        <w:pStyle w:val="Normal(Web)"/>
        <w:spacing w:before="0" w:beforeAutospacing="0" w:after="0" w:afterAutospacing="0" w:line="360" w:lineRule="auto"/>
        <w:rPr>
          <w:rFonts w:ascii="楷体" w:eastAsia="楷体" w:hAnsi="楷体" w:cs="楷体" w:hint="eastAsia"/>
        </w:rPr>
      </w:pPr>
      <w:r>
        <w:rPr>
          <w:rFonts w:ascii="楷体" w:eastAsia="楷体" w:hAnsi="楷体" w:cs="楷体" w:hint="eastAsia"/>
        </w:rPr>
        <w:t xml:space="preserve">尊敬的投资者：</w:t>
      </w:r>
    </w:p>
    <w:p>
      <w:pPr>
        <w:pStyle w:val="Normal(Web)"/>
        <w:spacing w:before="0" w:beforeAutospacing="0" w:after="0" w:afterAutospacing="0" w:line="360" w:lineRule="auto"/>
        <w:ind w:firstLine="566" w:firstLineChars="236"/>
        <w:rPr>
          <w:rFonts w:ascii="楷体" w:eastAsia="楷体" w:hAnsi="楷体" w:cs="楷体" w:hint="eastAsia"/>
        </w:rPr>
      </w:pPr>
      <w:r>
        <w:rPr>
          <w:rFonts w:ascii="楷体" w:eastAsia="楷体" w:hAnsi="楷体" w:cs="楷体" w:hint="eastAsia"/>
        </w:rPr>
        <w:t xml:space="preserve">“</w:t>
      </w:r>
      <w:r>
        <w:rPr>
          <w:rFonts w:ascii="楷体" w:eastAsia="楷体" w:hAnsi="楷体" w:cs="楷体" w:hint="eastAsia"/>
          <w:spacing w:val="-7"/>
        </w:rPr>
        <w:t xml:space="preserve">苏银理财恒源6月定开7期</w:t>
      </w:r>
      <w:r>
        <w:rPr>
          <w:rFonts w:ascii="楷体" w:eastAsia="楷体" w:hAnsi="楷体" w:cs="楷体" w:hint="eastAsia"/>
        </w:rPr>
        <w:t xml:space="preserve">”理财产品于</w:t>
      </w:r>
      <w:r>
        <w:rPr>
          <w:rFonts w:ascii="楷体" w:eastAsia="楷体" w:hAnsi="楷体" w:cs="楷体" w:hint="eastAsia"/>
          <w:spacing w:val="-53"/>
        </w:rPr>
        <w:t xml:space="preserve"> </w:t>
      </w:r>
      <w:r>
        <w:rPr>
          <w:rFonts w:ascii="楷体" w:eastAsia="楷体" w:hAnsi="楷体" w:cs="楷体" w:hint="eastAsia"/>
          <w:spacing w:val="-7"/>
        </w:rPr>
        <w:t xml:space="preserve">2022年04月28日</w:t>
      </w:r>
      <w:r>
        <w:rPr>
          <w:rFonts w:ascii="楷体" w:eastAsia="楷体" w:hAnsi="楷体" w:cs="楷体" w:hint="eastAsia"/>
        </w:rPr>
        <w:t xml:space="preserve">成立，于</w:t>
      </w:r>
      <w:r>
        <w:rPr>
          <w:rFonts w:ascii="楷体" w:eastAsia="楷体" w:hAnsi="楷体" w:cs="楷体" w:hint="eastAsia"/>
          <w:spacing w:val="-7"/>
        </w:rPr>
        <w:t xml:space="preserve">2022年04月28日</w:t>
      </w:r>
      <w:r>
        <w:rPr>
          <w:rFonts w:ascii="楷体" w:eastAsia="楷体" w:hAnsi="楷体" w:cs="楷体" w:hint="eastAsia"/>
        </w:rPr>
        <w:t xml:space="preserve">正式投资运作。</w:t>
      </w:r>
    </w:p>
    <w:p>
      <w:pPr>
        <w:pStyle w:val="Normal(Web)"/>
        <w:spacing w:before="0" w:beforeAutospacing="0" w:after="0" w:afterAutospacing="0" w:line="360" w:lineRule="auto"/>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一</w:t>
      </w:r>
      <w:bookmarkStart w:id="0" w:name="_Toc535504139"/>
      <w:r>
        <w:rPr>
          <w:rFonts w:ascii="楷体" w:eastAsia="楷体" w:hAnsi="楷体" w:cs="楷体" w:hint="eastAsia"/>
        </w:rPr>
        <w:t xml:space="preserve">、产品基本情况</w:t>
      </w:r>
      <w:bookmarkEnd w:id="0"/>
    </w:p>
    <w:tbl>
      <w:tblPr>
        <w:tblStyle w:val="TableNormal"/>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4774"/>
        <w:gridCol w:w="3847"/>
      </w:tblGrid>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产品名称</w:t>
            </w:r>
          </w:p>
        </w:tc>
        <w:tc>
          <w:tcPr>
            <w:tcW w:w="3847" w:type="dxa"/>
          </w:tcPr>
          <w:p>
            <w:pPr>
              <w:pStyle w:val="TableText"/>
              <w:spacing w:before="56" w:line="202" w:lineRule="auto"/>
              <w:jc w:val="center"/>
              <w:rPr>
                <w:rFonts w:ascii="楷体" w:eastAsia="楷体" w:hAnsi="楷体" w:cs="楷体" w:hint="eastAsia"/>
                <w:sz w:val="24"/>
                <w:szCs w:val="24"/>
                <w:highlight w:val="yellow"/>
              </w:rPr>
            </w:pPr>
            <w:r>
              <w:rPr>
                <w:rFonts w:ascii="楷体" w:eastAsia="楷体" w:hAnsi="楷体" w:cs="楷体" w:hint="eastAsia"/>
                <w:spacing w:val="-6"/>
                <w:sz w:val="24"/>
                <w:szCs w:val="24"/>
              </w:rPr>
              <w:t xml:space="preserve">苏银理财恒源6月定开7期</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全国银行业理财信息登记系统登记编码</w:t>
            </w:r>
          </w:p>
        </w:tc>
        <w:tc>
          <w:tcPr>
            <w:tcW w:w="3847" w:type="dxa"/>
          </w:tcPr>
          <w:p>
            <w:pPr>
              <w:pStyle w:val="TableText"/>
              <w:spacing w:before="85" w:line="176" w:lineRule="auto"/>
              <w:jc w:val="center"/>
              <w:rPr>
                <w:rFonts w:ascii="楷体" w:eastAsia="楷体" w:hAnsi="楷体" w:cs="楷体" w:hint="eastAsia"/>
                <w:sz w:val="24"/>
                <w:szCs w:val="24"/>
                <w:highlight w:val="yellow"/>
              </w:rPr>
            </w:pPr>
            <w:r>
              <w:rPr>
                <w:rFonts w:ascii="楷体" w:eastAsia="楷体" w:hAnsi="楷体" w:cs="楷体" w:hint="eastAsia"/>
                <w:spacing w:val="-1"/>
                <w:sz w:val="24"/>
                <w:szCs w:val="24"/>
              </w:rPr>
              <w:t xml:space="preserve">Z7003122000048</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产品运作方式</w:t>
            </w:r>
          </w:p>
        </w:tc>
        <w:tc>
          <w:tcPr>
            <w:tcW w:w="3847" w:type="dxa"/>
          </w:tcPr>
          <w:p>
            <w:pPr>
              <w:pStyle w:val="TableText"/>
              <w:spacing w:before="52" w:line="201" w:lineRule="auto"/>
              <w:jc w:val="center"/>
              <w:rPr>
                <w:rFonts w:ascii="楷体" w:eastAsia="楷体" w:hAnsi="楷体" w:cs="楷体" w:hint="eastAsia"/>
                <w:sz w:val="24"/>
                <w:szCs w:val="24"/>
                <w:highlight w:val="yellow"/>
              </w:rPr>
            </w:pPr>
            <w:r>
              <w:rPr>
                <w:rFonts w:ascii="楷体" w:eastAsia="楷体" w:hAnsi="楷体" w:cs="楷体" w:hint="eastAsia"/>
                <w:spacing w:val="-2"/>
                <w:sz w:val="24"/>
                <w:szCs w:val="24"/>
              </w:rPr>
              <w:t xml:space="preserve">开放式净值型</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报告期末产品存续份额（份）</w:t>
            </w:r>
          </w:p>
        </w:tc>
        <w:tc>
          <w:tcPr>
            <w:tcW w:w="3847" w:type="dxa"/>
          </w:tcPr>
          <w:p>
            <w:pPr>
              <w:pStyle w:val="TableText"/>
              <w:spacing w:before="87" w:line="174" w:lineRule="auto"/>
              <w:jc w:val="center"/>
              <w:rPr>
                <w:rFonts w:ascii="楷体" w:eastAsia="楷体" w:hAnsi="楷体" w:cs="楷体" w:hint="eastAsia"/>
                <w:sz w:val="24"/>
                <w:szCs w:val="24"/>
                <w:highlight w:val="yellow"/>
              </w:rPr>
            </w:pPr>
            <w:r>
              <w:rPr>
                <w:rFonts w:ascii="楷体" w:eastAsia="楷体" w:hAnsi="楷体" w:cs="楷体" w:hint="eastAsia"/>
                <w:spacing w:val="-1"/>
                <w:sz w:val="24"/>
                <w:szCs w:val="24"/>
              </w:rPr>
              <w:t xml:space="preserve">455,585,275.65</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产品资产净值（元）</w:t>
            </w:r>
          </w:p>
        </w:tc>
        <w:tc>
          <w:tcPr>
            <w:tcW w:w="3847" w:type="dxa"/>
          </w:tcPr>
          <w:p>
            <w:pPr>
              <w:pStyle w:val="TableText"/>
              <w:spacing w:before="78" w:line="182" w:lineRule="auto"/>
              <w:jc w:val="center"/>
              <w:rPr>
                <w:rFonts w:ascii="楷体" w:eastAsia="楷体" w:hAnsi="楷体" w:cs="楷体" w:hint="eastAsia"/>
                <w:sz w:val="24"/>
                <w:szCs w:val="24"/>
                <w:highlight w:val="yellow"/>
              </w:rPr>
            </w:pPr>
            <w:r>
              <w:rPr>
                <w:rFonts w:ascii="楷体" w:eastAsia="楷体" w:hAnsi="楷体" w:cs="楷体" w:hint="eastAsia"/>
                <w:spacing w:val="-1"/>
                <w:sz w:val="24"/>
                <w:szCs w:val="24"/>
              </w:rPr>
              <w:t xml:space="preserve">457,042,674.75</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风险收益特征</w:t>
            </w:r>
          </w:p>
        </w:tc>
        <w:tc>
          <w:tcPr>
            <w:tcW w:w="3847" w:type="dxa"/>
          </w:tcPr>
          <w:p>
            <w:pPr>
              <w:pStyle w:val="TableText"/>
              <w:spacing w:before="54" w:line="200" w:lineRule="auto"/>
              <w:jc w:val="center"/>
              <w:rPr>
                <w:rFonts w:ascii="楷体" w:eastAsia="楷体" w:hAnsi="楷体" w:cs="楷体" w:hint="eastAsia"/>
                <w:sz w:val="24"/>
                <w:szCs w:val="24"/>
                <w:highlight w:val="yellow"/>
              </w:rPr>
            </w:pPr>
            <w:r>
              <w:rPr>
                <w:rFonts w:ascii="楷体" w:eastAsia="楷体" w:hAnsi="楷体" w:cs="楷体" w:hint="eastAsia"/>
                <w:spacing w:val="-8"/>
                <w:sz w:val="24"/>
                <w:szCs w:val="24"/>
              </w:rPr>
              <w:t xml:space="preserve">中低风险型</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收益类型</w:t>
            </w:r>
          </w:p>
        </w:tc>
        <w:tc>
          <w:tcPr>
            <w:tcW w:w="3847" w:type="dxa"/>
          </w:tcPr>
          <w:p>
            <w:pPr>
              <w:pStyle w:val="TableText"/>
              <w:spacing w:before="56" w:line="199" w:lineRule="auto"/>
              <w:jc w:val="center"/>
              <w:rPr>
                <w:rFonts w:ascii="楷体" w:eastAsia="楷体" w:hAnsi="楷体" w:cs="楷体" w:hint="eastAsia"/>
                <w:sz w:val="24"/>
                <w:szCs w:val="24"/>
                <w:highlight w:val="yellow"/>
              </w:rPr>
            </w:pPr>
            <w:r>
              <w:rPr>
                <w:rFonts w:ascii="楷体" w:eastAsia="楷体" w:hAnsi="楷体" w:cs="楷体" w:hint="eastAsia"/>
                <w:spacing w:val="-9"/>
                <w:sz w:val="24"/>
                <w:szCs w:val="24"/>
              </w:rPr>
              <w:t xml:space="preserve">固定收益类</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管理人</w:t>
            </w:r>
          </w:p>
        </w:tc>
        <w:tc>
          <w:tcPr>
            <w:tcW w:w="3847" w:type="dxa"/>
          </w:tcPr>
          <w:p>
            <w:pPr>
              <w:pStyle w:val="TableText"/>
              <w:spacing w:before="55" w:line="200" w:lineRule="auto"/>
              <w:jc w:val="center"/>
              <w:rPr>
                <w:rFonts w:ascii="楷体" w:eastAsia="楷体" w:hAnsi="楷体" w:cs="楷体" w:hint="eastAsia"/>
                <w:sz w:val="24"/>
                <w:szCs w:val="24"/>
                <w:highlight w:val="yellow"/>
              </w:rPr>
            </w:pPr>
            <w:r>
              <w:rPr>
                <w:rFonts w:ascii="楷体" w:eastAsia="楷体" w:hAnsi="楷体" w:cs="楷体" w:hint="eastAsia"/>
                <w:spacing w:val="-3"/>
                <w:sz w:val="24"/>
                <w:szCs w:val="24"/>
              </w:rPr>
              <w:t xml:space="preserve">苏银理财有限责任公司</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托管人</w:t>
            </w:r>
          </w:p>
        </w:tc>
        <w:tc>
          <w:tcPr>
            <w:tcW w:w="3847" w:type="dxa"/>
          </w:tcPr>
          <w:p>
            <w:pPr>
              <w:pStyle w:val="TableText"/>
              <w:spacing w:before="56" w:line="199" w:lineRule="auto"/>
              <w:jc w:val="center"/>
              <w:rPr>
                <w:rFonts w:ascii="楷体" w:eastAsia="楷体" w:hAnsi="楷体" w:cs="楷体" w:hint="eastAsia"/>
                <w:sz w:val="24"/>
                <w:szCs w:val="24"/>
                <w:highlight w:val="yellow"/>
              </w:rPr>
            </w:pPr>
            <w:r>
              <w:rPr>
                <w:rFonts w:ascii="楷体" w:eastAsia="楷体" w:hAnsi="楷体" w:cs="楷体" w:hint="eastAsia"/>
                <w:spacing w:val="-3"/>
                <w:sz w:val="24"/>
                <w:szCs w:val="24"/>
              </w:rPr>
              <w:t xml:space="preserve">江苏银行股份有限公司</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托管账户</w:t>
            </w:r>
          </w:p>
        </w:tc>
        <w:tc>
          <w:tcPr>
            <w:tcW w:w="3847" w:type="dxa"/>
          </w:tcPr>
          <w:p>
            <w:pPr>
              <w:pStyle w:val="TableText"/>
              <w:spacing w:before="90" w:line="173" w:lineRule="auto"/>
              <w:jc w:val="center"/>
              <w:rPr>
                <w:rFonts w:ascii="楷体" w:eastAsia="楷体" w:hAnsi="楷体" w:cs="楷体" w:hint="eastAsia"/>
                <w:sz w:val="24"/>
                <w:szCs w:val="24"/>
                <w:highlight w:val="yellow"/>
              </w:rPr>
            </w:pPr>
            <w:r>
              <w:rPr>
                <w:rFonts w:ascii="楷体" w:eastAsia="楷体" w:hAnsi="楷体" w:cs="楷体" w:hint="eastAsia"/>
                <w:spacing w:val="-1"/>
                <w:sz w:val="24"/>
                <w:szCs w:val="24"/>
              </w:rPr>
              <w:t xml:space="preserve">31000188000483243</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托管账户开户行</w:t>
            </w:r>
          </w:p>
        </w:tc>
        <w:tc>
          <w:tcPr>
            <w:tcW w:w="3847" w:type="dxa"/>
          </w:tcPr>
          <w:p>
            <w:pPr>
              <w:pStyle w:val="TableText"/>
              <w:spacing w:before="56" w:line="199" w:lineRule="auto"/>
              <w:jc w:val="center"/>
              <w:rPr>
                <w:rFonts w:ascii="楷体" w:eastAsia="楷体" w:hAnsi="楷体" w:cs="楷体" w:hint="eastAsia"/>
                <w:sz w:val="24"/>
                <w:szCs w:val="24"/>
              </w:rPr>
            </w:pPr>
            <w:r>
              <w:rPr>
                <w:rFonts w:ascii="楷体" w:eastAsia="楷体" w:hAnsi="楷体" w:cs="楷体" w:hint="eastAsia"/>
                <w:spacing w:val="-2"/>
                <w:sz w:val="24"/>
                <w:szCs w:val="24"/>
              </w:rPr>
              <w:t xml:space="preserve">江苏银行股份有限公司营业部</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产品资产总值（元）</w:t>
            </w:r>
          </w:p>
        </w:tc>
        <w:tc>
          <w:tcPr>
            <w:tcW w:w="3847" w:type="dxa"/>
          </w:tcPr>
          <w:p>
            <w:pPr>
              <w:pStyle w:val="TableText"/>
              <w:spacing w:before="81" w:line="180" w:lineRule="auto"/>
              <w:jc w:val="center"/>
              <w:rPr>
                <w:rFonts w:ascii="楷体" w:eastAsia="楷体" w:hAnsi="楷体" w:cs="楷体" w:hint="eastAsia"/>
                <w:sz w:val="24"/>
                <w:szCs w:val="24"/>
              </w:rPr>
            </w:pPr>
            <w:r>
              <w:rPr>
                <w:rFonts w:ascii="楷体" w:eastAsia="楷体" w:hAnsi="楷体" w:cs="楷体" w:hint="eastAsia"/>
                <w:spacing w:val="-1"/>
                <w:sz w:val="24"/>
                <w:szCs w:val="24"/>
              </w:rPr>
              <w:t xml:space="preserve">468,073,843.06</w:t>
            </w:r>
            <w:r>
              <w:rPr>
                <w:rFonts w:ascii="楷体" w:eastAsia="楷体" w:hAnsi="楷体" w:cs="楷体" w:hint="eastAsia"/>
                <w:spacing w:val="-29"/>
                <w:sz w:val="24"/>
                <w:szCs w:val="24"/>
              </w:rPr>
              <w:t xml:space="preserve"> </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杠杆水平</w:t>
            </w:r>
          </w:p>
        </w:tc>
        <w:tc>
          <w:tcPr>
            <w:tcW w:w="3847" w:type="dxa"/>
          </w:tcPr>
          <w:p>
            <w:pPr>
              <w:pStyle w:val="TableText"/>
              <w:spacing w:before="56" w:line="202" w:lineRule="auto"/>
              <w:jc w:val="center"/>
              <w:rPr>
                <w:rFonts w:ascii="楷体" w:eastAsia="楷体" w:hAnsi="楷体" w:cs="楷体" w:hint="eastAsia"/>
                <w:sz w:val="24"/>
                <w:szCs w:val="24"/>
              </w:rPr>
            </w:pPr>
            <w:r>
              <w:rPr>
                <w:rFonts w:ascii="楷体" w:eastAsia="楷体" w:hAnsi="楷体" w:cs="楷体" w:hint="eastAsia"/>
                <w:spacing w:val="-4"/>
                <w:sz w:val="24"/>
                <w:szCs w:val="24"/>
              </w:rPr>
              <w:t xml:space="preserve">102.41%</w:t>
            </w:r>
          </w:p>
        </w:tc>
      </w:tr>
    </w:tbl>
    <w:p>
      <w:pPr>
        <w:pStyle w:val="标题4"/>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二、产品净值与业绩比较基准</w:t>
      </w:r>
    </w:p>
    <w:tbl>
      <w:tblPr>
        <w:tblStyle w:val="TableGrid"/>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1510"/>
        <w:gridCol w:w="2100"/>
        <w:gridCol w:w="1470"/>
        <w:gridCol w:w="1665"/>
        <w:gridCol w:w="1876"/>
      </w:tblGrid>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510" w:type="dxa"/>
          </w:tcPr>
          <w:p>
            <w:pPr>
              <w:spacing w:line="320" w:lineRule="exact"/>
              <w:jc w:val="center"/>
              <w:rPr>
                <w:rFonts w:ascii="楷体" w:eastAsia="楷体" w:hAnsi="楷体" w:cs="楷体" w:hint="eastAsia"/>
              </w:rPr>
            </w:pPr>
            <w:r>
              <w:rPr>
                <w:rFonts w:ascii="楷体" w:eastAsia="楷体" w:hAnsi="楷体" w:cs="楷体" w:hint="eastAsia"/>
                <w:sz w:val="24"/>
                <w:szCs w:val="24"/>
              </w:rPr>
              <w:t xml:space="preserve">报告日期</w:t>
            </w:r>
          </w:p>
        </w:tc>
        <w:tc>
          <w:tcPr>
            <w:tcW w:w="2100" w:type="dxa"/>
          </w:tcPr>
          <w:p>
            <w:pPr>
              <w:spacing w:line="320" w:lineRule="exact"/>
              <w:jc w:val="center"/>
              <w:rPr>
                <w:rFonts w:ascii="楷体" w:eastAsia="楷体" w:hAnsi="楷体" w:cs="楷体" w:hint="eastAsia"/>
              </w:rPr>
            </w:pPr>
            <w:r>
              <w:rPr>
                <w:rFonts w:ascii="楷体" w:eastAsia="楷体" w:hAnsi="楷体" w:cs="楷体" w:hint="eastAsia"/>
                <w:sz w:val="24"/>
                <w:szCs w:val="24"/>
              </w:rPr>
              <w:t xml:space="preserve">销售</w:t>
            </w:r>
            <w:r>
              <w:rPr>
                <w:rFonts w:ascii="楷体" w:eastAsia="楷体" w:hAnsi="楷体" w:cs="楷体" w:hint="eastAsia"/>
                <w:sz w:val="24"/>
                <w:szCs w:val="24"/>
                <w:lang w:eastAsia="zh-CN"/>
              </w:rPr>
              <w:t xml:space="preserve">名</w:t>
            </w:r>
            <w:r>
              <w:rPr>
                <w:rFonts w:ascii="楷体" w:eastAsia="楷体" w:hAnsi="楷体" w:cs="楷体" w:hint="eastAsia"/>
                <w:sz w:val="24"/>
                <w:szCs w:val="24"/>
              </w:rPr>
              <w:t xml:space="preserve">称</w:t>
            </w:r>
          </w:p>
        </w:tc>
        <w:tc>
          <w:tcPr>
            <w:tcW w:w="1470" w:type="dxa"/>
          </w:tcPr>
          <w:p>
            <w:pPr>
              <w:jc w:val="center"/>
              <w:rPr>
                <w:rFonts w:ascii="楷体" w:eastAsia="楷体" w:hAnsi="楷体" w:cs="楷体" w:hint="eastAsia"/>
              </w:rPr>
            </w:pPr>
            <w:r>
              <w:rPr>
                <w:rFonts w:ascii="楷体" w:eastAsia="楷体" w:hAnsi="楷体" w:cs="楷体" w:hint="eastAsia"/>
                <w:sz w:val="24"/>
                <w:szCs w:val="24"/>
              </w:rPr>
              <w:t xml:space="preserve">单位净值</w:t>
            </w:r>
          </w:p>
        </w:tc>
        <w:tc>
          <w:tcPr>
            <w:tcW w:w="1665" w:type="dxa"/>
          </w:tcPr>
          <w:p>
            <w:pPr>
              <w:jc w:val="center"/>
              <w:rPr>
                <w:rFonts w:ascii="楷体" w:eastAsia="楷体" w:hAnsi="楷体" w:cs="楷体" w:hint="eastAsia"/>
                <w:sz w:val="24"/>
                <w:szCs w:val="24"/>
              </w:rPr>
            </w:pPr>
            <w:r>
              <w:rPr>
                <w:rFonts w:ascii="楷体" w:eastAsia="楷体" w:hAnsi="楷体" w:cs="楷体" w:hint="eastAsia"/>
                <w:sz w:val="24"/>
                <w:szCs w:val="24"/>
              </w:rPr>
              <w:t xml:space="preserve">累计单位净值</w:t>
            </w:r>
          </w:p>
        </w:tc>
        <w:tc>
          <w:tcPr>
            <w:tcW w:w="1876" w:type="dxa"/>
          </w:tcPr>
          <w:p>
            <w:pPr>
              <w:jc w:val="center"/>
              <w:rPr>
                <w:rFonts w:ascii="楷体" w:eastAsia="楷体" w:hAnsi="楷体" w:cs="楷体" w:hint="eastAsia"/>
              </w:rPr>
            </w:pPr>
            <w:r>
              <w:rPr>
                <w:rFonts w:ascii="楷体" w:eastAsia="楷体" w:hAnsi="楷体" w:cs="楷体" w:hint="eastAsia"/>
                <w:sz w:val="24"/>
                <w:szCs w:val="24"/>
              </w:rPr>
              <w:t xml:space="preserve">业绩比较基准（年化）</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510" w:type="dxa"/>
          </w:tcPr>
          <w:p>
            <w:pPr>
              <w:jc w:val="center"/>
              <w:rPr>
                <w:rFonts w:ascii="楷体" w:eastAsia="楷体" w:hAnsi="楷体" w:cs="楷体" w:hint="eastAsia"/>
                <w:sz w:val="24"/>
                <w:szCs w:val="24"/>
              </w:rPr>
            </w:pPr>
            <w:r>
              <w:rPr>
                <w:rFonts w:ascii="楷体" w:eastAsia="楷体" w:hAnsi="楷体" w:cs="楷体" w:hint="eastAsia"/>
                <w:sz w:val="24"/>
                <w:szCs w:val="24"/>
              </w:rPr>
              <w:t xml:space="preserve">2025-06-30</w:t>
            </w:r>
          </w:p>
        </w:tc>
        <w:tc>
          <w:tcPr>
            <w:tcW w:w="2100" w:type="dxa"/>
          </w:tcPr>
          <w:p>
            <w:pPr>
              <w:jc w:val="center"/>
              <w:rPr>
                <w:rFonts w:ascii="楷体" w:eastAsia="楷体" w:hAnsi="楷体" w:cs="楷体" w:hint="eastAsia"/>
                <w:sz w:val="24"/>
                <w:szCs w:val="24"/>
              </w:rPr>
            </w:pPr>
            <w:r>
              <w:rPr>
                <w:rFonts w:ascii="楷体" w:eastAsia="楷体" w:hAnsi="楷体" w:cs="楷体" w:hint="eastAsia"/>
                <w:sz w:val="24"/>
                <w:szCs w:val="24"/>
              </w:rPr>
              <w:t xml:space="preserve">苏银理财恒源6月定开7期G</w:t>
            </w:r>
          </w:p>
        </w:tc>
        <w:tc>
          <w:tcPr>
            <w:tcW w:w="1470" w:type="dxa"/>
          </w:tcPr>
          <w:p>
            <w:pPr>
              <w:jc w:val="center"/>
              <w:rPr>
                <w:rFonts w:ascii="楷体" w:eastAsia="楷体" w:hAnsi="楷体" w:cs="楷体" w:hint="eastAsia"/>
                <w:sz w:val="24"/>
                <w:szCs w:val="24"/>
              </w:rPr>
            </w:pPr>
            <w:r>
              <w:rPr>
                <w:rFonts w:ascii="楷体" w:eastAsia="楷体" w:hAnsi="楷体" w:cs="楷体" w:hint="eastAsia"/>
                <w:sz w:val="24"/>
                <w:szCs w:val="24"/>
              </w:rPr>
              <w:t xml:space="preserve">1.003246</w:t>
            </w:r>
          </w:p>
        </w:tc>
        <w:tc>
          <w:tcPr>
            <w:tcW w:w="1665" w:type="dxa"/>
          </w:tcPr>
          <w:p>
            <w:pPr>
              <w:jc w:val="center"/>
              <w:rPr>
                <w:rFonts w:ascii="楷体" w:eastAsia="楷体" w:hAnsi="楷体" w:cs="楷体" w:hint="eastAsia"/>
                <w:sz w:val="24"/>
                <w:szCs w:val="24"/>
              </w:rPr>
            </w:pPr>
            <w:r>
              <w:rPr>
                <w:rFonts w:ascii="楷体" w:eastAsia="楷体" w:hAnsi="楷体" w:cs="楷体" w:hint="eastAsia"/>
                <w:sz w:val="24"/>
                <w:szCs w:val="24"/>
              </w:rPr>
              <w:t xml:space="preserve">1.048546</w:t>
            </w:r>
          </w:p>
        </w:tc>
        <w:tc>
          <w:tcPr>
            <w:tcW w:w="1876" w:type="dxa"/>
          </w:tcPr>
          <w:p>
            <w:pPr>
              <w:jc w:val="center"/>
              <w:rPr>
                <w:rFonts w:ascii="楷体" w:eastAsia="楷体" w:hAnsi="楷体" w:cs="楷体" w:hint="eastAsia"/>
                <w:sz w:val="24"/>
                <w:szCs w:val="24"/>
              </w:rPr>
            </w:pPr>
            <w:r>
              <w:rPr>
                <w:rFonts w:ascii="楷体" w:eastAsia="楷体" w:hAnsi="楷体" w:cs="楷体" w:hint="eastAsia"/>
                <w:sz w:val="24"/>
                <w:szCs w:val="24"/>
              </w:rPr>
              <w:t xml:space="preserve">2.40%-3.20%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4"/>
                <w:u w:val="none"/>
              </w:rPr>
              <w:t xml:space="preserve">2025-06-30</w:t>
            </w:r>
          </w:p>
        </w:tc>
        <w:tc>
          <w:tcPr>
            <w:tcW w:w="2100" w:type="dxa"/>
          </w:tcPr>
          <w:p>
            <w:pPr>
              <w:pageBreakBefore w:val="0"/>
              <w:jc w:val="center"/>
              <w:textAlignment w:val="auto"/>
            </w:pPr>
            <w:r>
              <w:rPr>
                <w:rFonts w:ascii="楷体" w:eastAsia="楷体" w:hAnsi="楷体" w:cs="楷体"/>
                <w:b w:val="0"/>
                <w:i w:val="0"/>
                <w:strike w:val="0"/>
                <w:color w:val="auto"/>
                <w:position w:val="-1"/>
                <w:sz w:val="24"/>
                <w:u w:val="none"/>
              </w:rPr>
              <w:t xml:space="preserve">苏银理财恒源6月定开7期A</w:t>
            </w:r>
          </w:p>
        </w:tc>
        <w:tc>
          <w:tcPr>
            <w:tcW w:w="1470" w:type="dxa"/>
          </w:tcPr>
          <w:p>
            <w:pPr>
              <w:pageBreakBefore w:val="0"/>
              <w:jc w:val="center"/>
              <w:textAlignment w:val="auto"/>
            </w:pPr>
            <w:r>
              <w:rPr>
                <w:rFonts w:ascii="楷体" w:eastAsia="楷体" w:hAnsi="楷体" w:cs="楷体"/>
                <w:b w:val="0"/>
                <w:i w:val="0"/>
                <w:strike w:val="0"/>
                <w:color w:val="auto"/>
                <w:position w:val="-1"/>
                <w:sz w:val="24"/>
                <w:u w:val="none"/>
              </w:rPr>
              <w:t xml:space="preserve">1.003171</w:t>
            </w:r>
          </w:p>
        </w:tc>
        <w:tc>
          <w:tcPr>
            <w:tcW w:w="1665" w:type="dxa"/>
          </w:tcPr>
          <w:p>
            <w:pPr>
              <w:pageBreakBefore w:val="0"/>
              <w:jc w:val="center"/>
              <w:textAlignment w:val="auto"/>
            </w:pPr>
            <w:r>
              <w:rPr>
                <w:rFonts w:ascii="楷体" w:eastAsia="楷体" w:hAnsi="楷体" w:cs="楷体"/>
                <w:b w:val="0"/>
                <w:i w:val="0"/>
                <w:strike w:val="0"/>
                <w:color w:val="auto"/>
                <w:position w:val="-1"/>
                <w:sz w:val="24"/>
                <w:u w:val="none"/>
              </w:rPr>
              <w:t xml:space="preserve">1.100489</w:t>
            </w:r>
          </w:p>
        </w:tc>
        <w:tc>
          <w:tcPr>
            <w:tcW w:w="1876" w:type="dxa"/>
          </w:tcPr>
          <w:p>
            <w:pPr>
              <w:pageBreakBefore w:val="0"/>
              <w:jc w:val="center"/>
              <w:textAlignment w:val="auto"/>
            </w:pPr>
            <w:r>
              <w:rPr>
                <w:rFonts w:ascii="楷体" w:eastAsia="楷体" w:hAnsi="楷体" w:cs="楷体"/>
                <w:b w:val="0"/>
                <w:i w:val="0"/>
                <w:strike w:val="0"/>
                <w:color w:val="auto"/>
                <w:position w:val="-1"/>
                <w:sz w:val="24"/>
                <w:u w:val="none"/>
              </w:rPr>
              <w:t xml:space="preserve">2.30%-3.10%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4"/>
                <w:u w:val="none"/>
              </w:rPr>
              <w:t xml:space="preserve">2025-06-30</w:t>
            </w:r>
          </w:p>
        </w:tc>
        <w:tc>
          <w:tcPr>
            <w:tcW w:w="2100" w:type="dxa"/>
          </w:tcPr>
          <w:p>
            <w:pPr>
              <w:pageBreakBefore w:val="0"/>
              <w:jc w:val="center"/>
              <w:textAlignment w:val="auto"/>
            </w:pPr>
            <w:r>
              <w:rPr>
                <w:rFonts w:ascii="楷体" w:eastAsia="楷体" w:hAnsi="楷体" w:cs="楷体"/>
                <w:b w:val="0"/>
                <w:i w:val="0"/>
                <w:strike w:val="0"/>
                <w:color w:val="auto"/>
                <w:position w:val="-1"/>
                <w:sz w:val="24"/>
                <w:u w:val="none"/>
              </w:rPr>
              <w:t xml:space="preserve">苏银理财恒源6月定开7期C</w:t>
            </w:r>
          </w:p>
        </w:tc>
        <w:tc>
          <w:tcPr>
            <w:tcW w:w="1470" w:type="dxa"/>
          </w:tcPr>
          <w:p>
            <w:pPr>
              <w:pageBreakBefore w:val="0"/>
              <w:jc w:val="center"/>
              <w:textAlignment w:val="auto"/>
            </w:pPr>
            <w:r>
              <w:rPr>
                <w:rFonts w:ascii="楷体" w:eastAsia="楷体" w:hAnsi="楷体" w:cs="楷体"/>
                <w:b w:val="0"/>
                <w:i w:val="0"/>
                <w:strike w:val="0"/>
                <w:color w:val="auto"/>
                <w:position w:val="-1"/>
                <w:sz w:val="24"/>
                <w:u w:val="none"/>
              </w:rPr>
              <w:t xml:space="preserve">1.003247</w:t>
            </w:r>
          </w:p>
        </w:tc>
        <w:tc>
          <w:tcPr>
            <w:tcW w:w="1665" w:type="dxa"/>
          </w:tcPr>
          <w:p>
            <w:pPr>
              <w:pageBreakBefore w:val="0"/>
              <w:jc w:val="center"/>
              <w:textAlignment w:val="auto"/>
            </w:pPr>
            <w:r>
              <w:rPr>
                <w:rFonts w:ascii="楷体" w:eastAsia="楷体" w:hAnsi="楷体" w:cs="楷体"/>
                <w:b w:val="0"/>
                <w:i w:val="0"/>
                <w:strike w:val="0"/>
                <w:color w:val="auto"/>
                <w:position w:val="-1"/>
                <w:sz w:val="24"/>
                <w:u w:val="none"/>
              </w:rPr>
              <w:t xml:space="preserve">1.103622</w:t>
            </w:r>
          </w:p>
        </w:tc>
        <w:tc>
          <w:tcPr>
            <w:tcW w:w="1876" w:type="dxa"/>
          </w:tcPr>
          <w:p>
            <w:pPr>
              <w:pageBreakBefore w:val="0"/>
              <w:jc w:val="center"/>
              <w:textAlignment w:val="auto"/>
            </w:pPr>
            <w:r>
              <w:rPr>
                <w:rFonts w:ascii="楷体" w:eastAsia="楷体" w:hAnsi="楷体" w:cs="楷体"/>
                <w:b w:val="0"/>
                <w:i w:val="0"/>
                <w:strike w:val="0"/>
                <w:color w:val="auto"/>
                <w:position w:val="-1"/>
                <w:sz w:val="24"/>
                <w:u w:val="none"/>
              </w:rPr>
              <w:t xml:space="preserve">2.40%-3.20%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4"/>
                <w:u w:val="none"/>
              </w:rPr>
              <w:t xml:space="preserve">2025-06-30</w:t>
            </w:r>
          </w:p>
        </w:tc>
        <w:tc>
          <w:tcPr>
            <w:tcW w:w="2100" w:type="dxa"/>
          </w:tcPr>
          <w:p>
            <w:pPr>
              <w:pageBreakBefore w:val="0"/>
              <w:jc w:val="center"/>
              <w:textAlignment w:val="auto"/>
            </w:pPr>
            <w:r>
              <w:rPr>
                <w:rFonts w:ascii="楷体" w:eastAsia="楷体" w:hAnsi="楷体" w:cs="楷体"/>
                <w:b w:val="0"/>
                <w:i w:val="0"/>
                <w:strike w:val="0"/>
                <w:color w:val="auto"/>
                <w:position w:val="-1"/>
                <w:sz w:val="24"/>
                <w:u w:val="none"/>
              </w:rPr>
              <w:t xml:space="preserve">苏银理财恒源6月定开7期D</w:t>
            </w:r>
          </w:p>
        </w:tc>
        <w:tc>
          <w:tcPr>
            <w:tcW w:w="1470" w:type="dxa"/>
          </w:tcPr>
          <w:p>
            <w:pPr>
              <w:pageBreakBefore w:val="0"/>
              <w:jc w:val="center"/>
              <w:textAlignment w:val="auto"/>
            </w:pPr>
            <w:r>
              <w:rPr>
                <w:rFonts w:ascii="楷体" w:eastAsia="楷体" w:hAnsi="楷体" w:cs="楷体"/>
                <w:b w:val="0"/>
                <w:i w:val="0"/>
                <w:strike w:val="0"/>
                <w:color w:val="auto"/>
                <w:position w:val="-1"/>
                <w:sz w:val="24"/>
                <w:u w:val="none"/>
              </w:rPr>
              <w:t xml:space="preserve">1.003283</w:t>
            </w:r>
          </w:p>
        </w:tc>
        <w:tc>
          <w:tcPr>
            <w:tcW w:w="1665" w:type="dxa"/>
          </w:tcPr>
          <w:p>
            <w:pPr>
              <w:pageBreakBefore w:val="0"/>
              <w:jc w:val="center"/>
              <w:textAlignment w:val="auto"/>
            </w:pPr>
            <w:r>
              <w:rPr>
                <w:rFonts w:ascii="楷体" w:eastAsia="楷体" w:hAnsi="楷体" w:cs="楷体"/>
                <w:b w:val="0"/>
                <w:i w:val="0"/>
                <w:strike w:val="0"/>
                <w:color w:val="auto"/>
                <w:position w:val="-1"/>
                <w:sz w:val="24"/>
                <w:u w:val="none"/>
              </w:rPr>
              <w:t xml:space="preserve">1.103631</w:t>
            </w:r>
          </w:p>
        </w:tc>
        <w:tc>
          <w:tcPr>
            <w:tcW w:w="1876" w:type="dxa"/>
          </w:tcPr>
          <w:p>
            <w:pPr>
              <w:pageBreakBefore w:val="0"/>
              <w:jc w:val="center"/>
              <w:textAlignment w:val="auto"/>
            </w:pPr>
            <w:r>
              <w:rPr>
                <w:rFonts w:ascii="楷体" w:eastAsia="楷体" w:hAnsi="楷体" w:cs="楷体"/>
                <w:b w:val="0"/>
                <w:i w:val="0"/>
                <w:strike w:val="0"/>
                <w:color w:val="auto"/>
                <w:position w:val="-1"/>
                <w:sz w:val="24"/>
                <w:u w:val="none"/>
              </w:rPr>
              <w:t xml:space="preserve">2.45%-3.25%</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4"/>
                <w:u w:val="none"/>
              </w:rPr>
              <w:t xml:space="preserve">2025-06-30</w:t>
            </w:r>
          </w:p>
        </w:tc>
        <w:tc>
          <w:tcPr>
            <w:tcW w:w="2100" w:type="dxa"/>
          </w:tcPr>
          <w:p>
            <w:pPr>
              <w:pageBreakBefore w:val="0"/>
              <w:jc w:val="center"/>
              <w:textAlignment w:val="auto"/>
            </w:pPr>
            <w:r>
              <w:rPr>
                <w:rFonts w:ascii="楷体" w:eastAsia="楷体" w:hAnsi="楷体" w:cs="楷体"/>
                <w:b w:val="0"/>
                <w:i w:val="0"/>
                <w:strike w:val="0"/>
                <w:color w:val="auto"/>
                <w:position w:val="-1"/>
                <w:sz w:val="24"/>
                <w:u w:val="none"/>
              </w:rPr>
              <w:t xml:space="preserve">苏银理财恒源6月定开7期F</w:t>
            </w:r>
          </w:p>
        </w:tc>
        <w:tc>
          <w:tcPr>
            <w:tcW w:w="1470" w:type="dxa"/>
          </w:tcPr>
          <w:p>
            <w:pPr>
              <w:pageBreakBefore w:val="0"/>
              <w:jc w:val="center"/>
              <w:textAlignment w:val="auto"/>
            </w:pPr>
            <w:r>
              <w:rPr>
                <w:rFonts w:ascii="楷体" w:eastAsia="楷体" w:hAnsi="楷体" w:cs="楷体"/>
                <w:b w:val="0"/>
                <w:i w:val="0"/>
                <w:strike w:val="0"/>
                <w:color w:val="auto"/>
                <w:position w:val="-1"/>
                <w:sz w:val="24"/>
                <w:u w:val="none"/>
              </w:rPr>
              <w:t xml:space="preserve">1.003173</w:t>
            </w:r>
          </w:p>
        </w:tc>
        <w:tc>
          <w:tcPr>
            <w:tcW w:w="1665" w:type="dxa"/>
          </w:tcPr>
          <w:p>
            <w:pPr>
              <w:pageBreakBefore w:val="0"/>
              <w:jc w:val="center"/>
              <w:textAlignment w:val="auto"/>
            </w:pPr>
            <w:r>
              <w:rPr>
                <w:rFonts w:ascii="楷体" w:eastAsia="楷体" w:hAnsi="楷体" w:cs="楷体"/>
                <w:b w:val="0"/>
                <w:i w:val="0"/>
                <w:strike w:val="0"/>
                <w:color w:val="auto"/>
                <w:position w:val="-1"/>
                <w:sz w:val="24"/>
                <w:u w:val="none"/>
              </w:rPr>
              <w:t xml:space="preserve">1.079033</w:t>
            </w:r>
          </w:p>
        </w:tc>
        <w:tc>
          <w:tcPr>
            <w:tcW w:w="1876" w:type="dxa"/>
          </w:tcPr>
          <w:p>
            <w:pPr>
              <w:pageBreakBefore w:val="0"/>
              <w:jc w:val="center"/>
              <w:textAlignment w:val="auto"/>
            </w:pPr>
            <w:r>
              <w:rPr>
                <w:rFonts w:ascii="楷体" w:eastAsia="楷体" w:hAnsi="楷体" w:cs="楷体"/>
                <w:b w:val="0"/>
                <w:i w:val="0"/>
                <w:strike w:val="0"/>
                <w:color w:val="auto"/>
                <w:position w:val="-1"/>
                <w:sz w:val="24"/>
                <w:u w:val="none"/>
              </w:rPr>
              <w:t xml:space="preserve">2.30%-3.10%</w:t>
            </w:r>
          </w:p>
        </w:tc>
      </w:tr>
    </w:tbl>
    <w:p>
      <w:pPr>
        <w:rPr>
          <w:rFonts w:ascii="楷体" w:eastAsia="楷体" w:hAnsi="楷体" w:cs="楷体" w:hint="eastAsia"/>
        </w:rPr>
      </w:pPr>
    </w:p>
    <w:p>
      <w:pPr>
        <w:rPr>
          <w:rFonts w:ascii="楷体" w:eastAsia="楷体" w:hAnsi="楷体" w:cs="楷体" w:hint="eastAsia"/>
          <w:sz w:val="21"/>
          <w:szCs w:val="21"/>
        </w:rPr>
      </w:pPr>
      <w:r>
        <w:rPr>
          <w:rFonts w:ascii="楷体" w:eastAsia="楷体" w:hAnsi="楷体" w:cs="楷体" w:hint="eastAsia"/>
          <w:bCs/>
          <w:kern w:val="0"/>
          <w:sz w:val="21"/>
          <w:szCs w:val="21"/>
        </w:rPr>
        <w:t xml:space="preserve">业绩比较基准不代表理财产品未来表现，不等于理财产品实际收益，不作为产品收益的业绩保证，投资者的实际收益由产品净值表现决定。管理人参考过往投资经验，依据资产投资收益水平，在产品说明书约定的投资范围和投资比例内，综合考虑收取的费用情况，模拟测算得出业绩比较基准。</w:t>
      </w:r>
    </w:p>
    <w:p>
      <w:pPr>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三、产品投资组合情况</w:t>
      </w:r>
    </w:p>
    <w:p>
      <w:pPr>
        <w:pStyle w:val="Heading3"/>
        <w:rPr>
          <w:rFonts w:ascii="楷体" w:eastAsia="楷体" w:hAnsi="楷体" w:cs="楷体" w:hint="eastAsia"/>
          <w:b w:val="0"/>
          <w:sz w:val="21"/>
        </w:rPr>
      </w:pPr>
      <w:r>
        <w:rPr>
          <w:rFonts w:ascii="楷体" w:eastAsia="楷体" w:hAnsi="楷体" w:cs="楷体" w:hint="eastAsia"/>
          <w:b w:val="0"/>
          <w:sz w:val="21"/>
        </w:rPr>
        <w:t xml:space="preserve">（一）期末理财产品持有资产情况</w:t>
      </w:r>
    </w:p>
    <w:tbl>
      <w:tblPr>
        <w:tblStyle w:val="TableNormal"/>
        <w:tblW w:w="83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727"/>
        <w:gridCol w:w="2413"/>
        <w:gridCol w:w="2610"/>
        <w:gridCol w:w="2550"/>
      </w:tblGrid>
      <w:tr>
        <w:tblPrEx>
          <w:tblW w:w="83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727" w:type="dxa"/>
            <w:vAlign w:val="center"/>
          </w:tcPr>
          <w:p>
            <w:pPr>
              <w:spacing w:line="320" w:lineRule="exact"/>
              <w:jc w:val="center"/>
              <w:rPr>
                <w:rFonts w:ascii="楷体" w:eastAsia="楷体" w:hAnsi="楷体" w:cs="楷体" w:hint="eastAsia"/>
                <w:sz w:val="21"/>
                <w:szCs w:val="21"/>
              </w:rPr>
            </w:pPr>
            <w:r>
              <w:rPr>
                <w:rFonts w:ascii="楷体" w:eastAsia="楷体" w:hAnsi="楷体" w:cs="楷体" w:hint="eastAsia"/>
                <w:sz w:val="21"/>
                <w:szCs w:val="21"/>
              </w:rPr>
              <w:t xml:space="preserve">序号</w:t>
            </w:r>
          </w:p>
        </w:tc>
        <w:tc>
          <w:tcPr>
            <w:tcW w:w="2413" w:type="dxa"/>
            <w:vAlign w:val="center"/>
          </w:tcPr>
          <w:p>
            <w:pPr>
              <w:spacing w:line="320" w:lineRule="exact"/>
              <w:jc w:val="center"/>
              <w:rPr>
                <w:rFonts w:ascii="楷体" w:eastAsia="楷体" w:hAnsi="楷体" w:cs="楷体" w:hint="eastAsia"/>
                <w:sz w:val="21"/>
                <w:szCs w:val="21"/>
              </w:rPr>
            </w:pPr>
            <w:r>
              <w:rPr>
                <w:rFonts w:ascii="楷体" w:eastAsia="楷体" w:hAnsi="楷体" w:cs="楷体" w:hint="eastAsia"/>
                <w:sz w:val="21"/>
                <w:szCs w:val="21"/>
              </w:rPr>
              <w:t xml:space="preserve">资产类别</w:t>
            </w:r>
          </w:p>
        </w:tc>
        <w:tc>
          <w:tcPr>
            <w:tcW w:w="2610" w:type="dxa"/>
            <w:vAlign w:val="center"/>
          </w:tcPr>
          <w:p>
            <w:pPr>
              <w:spacing w:line="320" w:lineRule="exact"/>
              <w:rPr>
                <w:rFonts w:ascii="楷体" w:eastAsia="楷体" w:hAnsi="楷体" w:cs="楷体" w:hint="eastAsia"/>
                <w:sz w:val="21"/>
                <w:szCs w:val="21"/>
              </w:rPr>
            </w:pPr>
            <w:r>
              <w:rPr>
                <w:rFonts w:ascii="楷体" w:eastAsia="楷体" w:hAnsi="楷体" w:cs="楷体" w:hint="eastAsia"/>
                <w:sz w:val="21"/>
                <w:szCs w:val="21"/>
              </w:rPr>
              <w:t xml:space="preserve">直接投资占总资产的比例</w:t>
            </w:r>
          </w:p>
        </w:tc>
        <w:tc>
          <w:tcPr>
            <w:tcW w:w="2550" w:type="dxa"/>
            <w:vAlign w:val="center"/>
          </w:tcPr>
          <w:p>
            <w:pPr>
              <w:spacing w:line="320" w:lineRule="exact"/>
              <w:jc w:val="center"/>
              <w:rPr>
                <w:rFonts w:ascii="楷体" w:eastAsia="楷体" w:hAnsi="楷体" w:cs="楷体" w:hint="eastAsia"/>
                <w:sz w:val="21"/>
                <w:szCs w:val="21"/>
              </w:rPr>
            </w:pPr>
            <w:r>
              <w:rPr>
                <w:rFonts w:ascii="楷体" w:eastAsia="楷体" w:hAnsi="楷体" w:cs="楷体" w:hint="eastAsia"/>
                <w:sz w:val="21"/>
                <w:szCs w:val="21"/>
              </w:rPr>
              <w:t xml:space="preserve">间接投资占总资产的比例</w:t>
            </w:r>
          </w:p>
        </w:tc>
      </w:tr>
      <w:tr>
        <w:tblPrEx>
          <w:tblW w:w="83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727" w:type="dxa"/>
            <w:vAlign w:val="center"/>
          </w:tcPr>
          <w:p>
            <w:pPr>
              <w:jc w:val="center"/>
              <w:rPr>
                <w:rFonts w:ascii="楷体" w:eastAsia="楷体" w:hAnsi="楷体" w:cs="楷体" w:hint="eastAsia"/>
                <w:sz w:val="24"/>
                <w:szCs w:val="24"/>
              </w:rPr>
            </w:pPr>
            <w:r>
              <w:rPr>
                <w:rFonts w:ascii="楷体" w:eastAsia="楷体" w:hAnsi="楷体" w:cs="楷体" w:hint="eastAsia"/>
                <w:sz w:val="24"/>
                <w:szCs w:val="24"/>
              </w:rPr>
              <w:t xml:space="preserve">1</w:t>
            </w:r>
          </w:p>
        </w:tc>
        <w:tc>
          <w:tcPr>
            <w:tcW w:w="2413" w:type="dxa"/>
            <w:vAlign w:val="center"/>
          </w:tcPr>
          <w:p>
            <w:pPr>
              <w:jc w:val="center"/>
              <w:rPr>
                <w:rFonts w:ascii="楷体" w:eastAsia="楷体" w:hAnsi="楷体" w:cs="楷体" w:hint="eastAsia"/>
                <w:sz w:val="24"/>
                <w:szCs w:val="24"/>
              </w:rPr>
            </w:pPr>
            <w:r>
              <w:rPr>
                <w:rFonts w:ascii="楷体" w:eastAsia="楷体" w:hAnsi="楷体" w:cs="楷体" w:hint="eastAsia"/>
                <w:sz w:val="24"/>
                <w:szCs w:val="24"/>
              </w:rPr>
              <w:t xml:space="preserve">固定收益类</w:t>
            </w:r>
          </w:p>
        </w:tc>
        <w:tc>
          <w:tcPr>
            <w:tcW w:w="2610" w:type="dxa"/>
            <w:vAlign w:val="center"/>
          </w:tcPr>
          <w:p>
            <w:pPr>
              <w:jc w:val="center"/>
              <w:rPr>
                <w:rFonts w:ascii="楷体" w:eastAsia="楷体" w:hAnsi="楷体" w:cs="楷体" w:hint="eastAsia"/>
                <w:sz w:val="24"/>
                <w:szCs w:val="24"/>
              </w:rPr>
            </w:pPr>
            <w:r>
              <w:rPr>
                <w:rFonts w:ascii="楷体" w:eastAsia="楷体" w:hAnsi="楷体" w:cs="楷体" w:hint="eastAsia"/>
                <w:sz w:val="24"/>
                <w:szCs w:val="24"/>
              </w:rPr>
              <w:t xml:space="preserve">19.77%</w:t>
            </w:r>
          </w:p>
        </w:tc>
        <w:tc>
          <w:tcPr>
            <w:tcW w:w="2550" w:type="dxa"/>
            <w:vAlign w:val="center"/>
          </w:tcPr>
          <w:p>
            <w:pPr>
              <w:jc w:val="center"/>
              <w:rPr>
                <w:rFonts w:ascii="楷体" w:eastAsia="楷体" w:hAnsi="楷体" w:cs="楷体" w:hint="eastAsia"/>
                <w:sz w:val="24"/>
                <w:szCs w:val="24"/>
              </w:rPr>
            </w:pPr>
            <w:r>
              <w:rPr>
                <w:rFonts w:ascii="楷体" w:eastAsia="楷体" w:hAnsi="楷体" w:cs="楷体" w:hint="eastAsia"/>
                <w:sz w:val="24"/>
                <w:szCs w:val="24"/>
              </w:rPr>
              <w:t xml:space="preserve">80.23%</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2</w:t>
            </w:r>
          </w:p>
        </w:tc>
        <w:tc>
          <w:tcPr>
            <w:tcW w:w="2413"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权益类</w:t>
            </w:r>
          </w:p>
        </w:tc>
        <w:tc>
          <w:tcPr>
            <w:tcW w:w="2610"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w:t>
            </w:r>
          </w:p>
        </w:tc>
        <w:tc>
          <w:tcPr>
            <w:tcW w:w="2550"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3</w:t>
            </w:r>
          </w:p>
        </w:tc>
        <w:tc>
          <w:tcPr>
            <w:tcW w:w="2413"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商品及金融衍生品类</w:t>
            </w:r>
          </w:p>
        </w:tc>
        <w:tc>
          <w:tcPr>
            <w:tcW w:w="2610"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w:t>
            </w:r>
          </w:p>
        </w:tc>
        <w:tc>
          <w:tcPr>
            <w:tcW w:w="2550"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4</w:t>
            </w:r>
          </w:p>
        </w:tc>
        <w:tc>
          <w:tcPr>
            <w:tcW w:w="2413"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混合类</w:t>
            </w:r>
          </w:p>
        </w:tc>
        <w:tc>
          <w:tcPr>
            <w:tcW w:w="2610"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w:t>
            </w:r>
          </w:p>
        </w:tc>
        <w:tc>
          <w:tcPr>
            <w:tcW w:w="2550"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w:t>
            </w:r>
          </w:p>
        </w:tc>
      </w:tr>
      <w:tr>
        <w:tblPrEx>
          <w:tblW w:w="83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3140" w:type="dxa"/>
            <w:gridSpan w:val="2"/>
            <w:shd w:val="clear" w:color="auto" w:fill="auto"/>
            <w:vAlign w:val="center"/>
          </w:tcPr>
          <w:p>
            <w:pPr>
              <w:tabs>
                <w:tab w:val="center" w:pos="1522"/>
                <w:tab w:val="right" w:pos="2924"/>
              </w:tabs>
              <w:jc w:val="left"/>
              <w:rPr>
                <w:rFonts w:ascii="楷体" w:eastAsia="楷体" w:hAnsi="楷体" w:cs="楷体" w:hint="eastAsia"/>
                <w:sz w:val="24"/>
                <w:szCs w:val="24"/>
                <w:lang w:eastAsia="zh-CN"/>
              </w:rPr>
            </w:pPr>
            <w:r>
              <w:rPr>
                <w:rFonts w:ascii="楷体" w:eastAsia="楷体" w:hAnsi="楷体" w:cs="楷体" w:hint="eastAsia"/>
                <w:sz w:val="24"/>
                <w:szCs w:val="24"/>
                <w:lang w:eastAsia="zh-CN"/>
              </w:rPr>
              <w:tab/>
            </w:r>
            <w:r>
              <w:rPr>
                <w:rFonts w:ascii="楷体" w:eastAsia="楷体" w:hAnsi="楷体" w:cs="楷体" w:hint="eastAsia"/>
                <w:sz w:val="24"/>
                <w:szCs w:val="24"/>
              </w:rPr>
              <w:t xml:space="preserve">合计</w:t>
            </w:r>
            <w:r>
              <w:rPr>
                <w:rFonts w:ascii="楷体" w:eastAsia="楷体" w:hAnsi="楷体" w:cs="楷体" w:hint="eastAsia"/>
                <w:sz w:val="24"/>
                <w:szCs w:val="24"/>
                <w:lang w:eastAsia="zh-CN"/>
              </w:rPr>
              <w:tab/>
            </w:r>
          </w:p>
        </w:tc>
        <w:tc>
          <w:tcPr>
            <w:tcW w:w="2610" w:type="dxa"/>
            <w:shd w:val="clear" w:color="auto" w:fill="auto"/>
            <w:vAlign w:val="center"/>
          </w:tcPr>
          <w:p>
            <w:pPr>
              <w:jc w:val="center"/>
              <w:rPr>
                <w:rFonts w:ascii="楷体" w:eastAsia="楷体" w:hAnsi="楷体" w:cs="楷体" w:hint="eastAsia"/>
                <w:sz w:val="24"/>
                <w:szCs w:val="24"/>
              </w:rPr>
            </w:pPr>
            <w:r>
              <w:rPr>
                <w:rFonts w:ascii="楷体" w:eastAsia="楷体" w:hAnsi="楷体" w:cs="楷体" w:hint="eastAsia"/>
                <w:sz w:val="24"/>
                <w:szCs w:val="24"/>
              </w:rPr>
              <w:t xml:space="preserve">19.77%</w:t>
            </w:r>
          </w:p>
        </w:tc>
        <w:tc>
          <w:tcPr>
            <w:tcW w:w="2550" w:type="dxa"/>
            <w:shd w:val="clear" w:color="auto" w:fill="FFFFFF"/>
            <w:vAlign w:val="center"/>
          </w:tcPr>
          <w:p>
            <w:pPr>
              <w:jc w:val="center"/>
              <w:rPr>
                <w:rFonts w:ascii="楷体" w:eastAsia="楷体" w:hAnsi="楷体" w:cs="楷体" w:hint="eastAsia"/>
                <w:sz w:val="24"/>
                <w:szCs w:val="24"/>
              </w:rPr>
            </w:pPr>
            <w:r>
              <w:rPr>
                <w:rFonts w:ascii="楷体" w:eastAsia="楷体" w:hAnsi="楷体" w:cs="楷体" w:hint="eastAsia"/>
                <w:sz w:val="24"/>
                <w:szCs w:val="24"/>
              </w:rPr>
              <w:t xml:space="preserve">80.23%</w:t>
            </w:r>
          </w:p>
        </w:tc>
      </w:tr>
    </w:tbl>
    <w:p>
      <w:pPr>
        <w:rPr>
          <w:rFonts w:ascii="楷体" w:eastAsia="楷体" w:hAnsi="楷体" w:cs="楷体" w:hint="eastAsia"/>
        </w:rPr>
      </w:pPr>
    </w:p>
    <w:p>
      <w:pPr>
        <w:pStyle w:val="Heading3"/>
        <w:ind w:left="0"/>
        <w:rPr>
          <w:rFonts w:ascii="楷体" w:eastAsia="楷体" w:hAnsi="楷体" w:cs="楷体" w:hint="eastAsia"/>
          <w:b w:val="0"/>
          <w:sz w:val="21"/>
        </w:rPr>
      </w:pPr>
      <w:r>
        <w:rPr>
          <w:rFonts w:ascii="楷体" w:eastAsia="楷体" w:hAnsi="楷体" w:cs="楷体" w:hint="eastAsia"/>
          <w:b w:val="0"/>
          <w:sz w:val="21"/>
        </w:rPr>
        <w:t xml:space="preserve">（二）期末理财产品持有的前十项资产</w:t>
      </w:r>
    </w:p>
    <w:tbl>
      <w:tblPr>
        <w:tblStyle w:val="TableNormal"/>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873"/>
        <w:gridCol w:w="2434"/>
        <w:gridCol w:w="1275"/>
        <w:gridCol w:w="2235"/>
        <w:gridCol w:w="1800"/>
      </w:tblGrid>
      <w:tr>
        <w:tblPrEx>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283"/>
        </w:trPr>
        <w:tc>
          <w:tcPr>
            <w:tcW w:w="873" w:type="dxa"/>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序号</w:t>
            </w:r>
          </w:p>
        </w:tc>
        <w:tc>
          <w:tcPr>
            <w:tcW w:w="2434" w:type="dxa"/>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资产名称</w:t>
            </w:r>
          </w:p>
        </w:tc>
        <w:tc>
          <w:tcPr>
            <w:tcW w:w="1275" w:type="dxa"/>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资产类别</w:t>
            </w:r>
          </w:p>
        </w:tc>
        <w:tc>
          <w:tcPr>
            <w:tcW w:w="2235" w:type="dxa"/>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持有金额（元）</w:t>
            </w:r>
          </w:p>
        </w:tc>
        <w:tc>
          <w:tcPr>
            <w:tcW w:w="1800" w:type="dxa"/>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占产品总资产的比例（%）</w:t>
            </w:r>
          </w:p>
        </w:tc>
      </w:tr>
      <w:tr>
        <w:tblPrEx>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283"/>
        </w:trPr>
        <w:tc>
          <w:tcPr>
            <w:tcW w:w="873" w:type="dxa"/>
          </w:tcPr>
          <w:p>
            <w:pPr>
              <w:jc w:val="center"/>
              <w:rPr>
                <w:rFonts w:ascii="楷体" w:eastAsia="楷体" w:hAnsi="楷体" w:cs="楷体" w:hint="eastAsia"/>
                <w:sz w:val="22"/>
              </w:rPr>
            </w:pPr>
            <w:r>
              <w:rPr>
                <w:rFonts w:ascii="楷体" w:eastAsia="楷体" w:hAnsi="楷体" w:cs="楷体" w:hint="eastAsia"/>
                <w:sz w:val="22"/>
              </w:rPr>
              <w:t xml:space="preserve">1</w:t>
            </w:r>
          </w:p>
        </w:tc>
        <w:tc>
          <w:tcPr>
            <w:tcW w:w="2434" w:type="dxa"/>
          </w:tcPr>
          <w:p>
            <w:pPr>
              <w:jc w:val="center"/>
              <w:rPr>
                <w:rFonts w:ascii="楷体" w:eastAsia="楷体" w:hAnsi="楷体" w:cs="楷体" w:hint="eastAsia"/>
                <w:sz w:val="22"/>
              </w:rPr>
            </w:pPr>
            <w:r>
              <w:rPr>
                <w:rFonts w:ascii="楷体" w:eastAsia="楷体" w:hAnsi="楷体" w:cs="楷体" w:hint="eastAsia"/>
                <w:sz w:val="22"/>
              </w:rPr>
              <w:t xml:space="preserve">24盛泽G1</w:t>
            </w:r>
          </w:p>
        </w:tc>
        <w:tc>
          <w:tcPr>
            <w:tcW w:w="1275" w:type="dxa"/>
          </w:tcPr>
          <w:p>
            <w:pPr>
              <w:jc w:val="center"/>
              <w:rPr>
                <w:rFonts w:ascii="楷体" w:eastAsia="楷体" w:hAnsi="楷体" w:cs="楷体" w:hint="eastAsia"/>
                <w:sz w:val="22"/>
              </w:rPr>
            </w:pPr>
            <w:r>
              <w:rPr>
                <w:rFonts w:ascii="楷体" w:eastAsia="楷体" w:hAnsi="楷体" w:cs="楷体" w:hint="eastAsia"/>
                <w:sz w:val="22"/>
              </w:rPr>
              <w:t xml:space="preserve">债券</w:t>
            </w:r>
          </w:p>
        </w:tc>
        <w:tc>
          <w:tcPr>
            <w:tcW w:w="2235" w:type="dxa"/>
          </w:tcPr>
          <w:p>
            <w:pPr>
              <w:jc w:val="center"/>
              <w:rPr>
                <w:rFonts w:ascii="楷体" w:eastAsia="楷体" w:hAnsi="楷体" w:cs="楷体" w:hint="eastAsia"/>
                <w:sz w:val="22"/>
              </w:rPr>
            </w:pPr>
            <w:r>
              <w:rPr>
                <w:rFonts w:ascii="楷体" w:eastAsia="楷体" w:hAnsi="楷体" w:cs="楷体" w:hint="eastAsia"/>
                <w:sz w:val="22"/>
              </w:rPr>
              <w:t xml:space="preserve">39,677,978.08</w:t>
            </w:r>
          </w:p>
        </w:tc>
        <w:tc>
          <w:tcPr>
            <w:tcW w:w="1800" w:type="dxa"/>
          </w:tcPr>
          <w:p>
            <w:pPr>
              <w:jc w:val="center"/>
              <w:rPr>
                <w:rFonts w:ascii="楷体" w:eastAsia="楷体" w:hAnsi="楷体" w:cs="楷体" w:hint="eastAsia"/>
                <w:sz w:val="22"/>
              </w:rPr>
            </w:pPr>
            <w:r>
              <w:rPr>
                <w:rFonts w:ascii="楷体" w:eastAsia="楷体" w:hAnsi="楷体" w:cs="楷体" w:hint="eastAsia"/>
                <w:sz w:val="22"/>
              </w:rPr>
              <w:t xml:space="preserve">8.11%</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2</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24润铜02</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30,251,001.37</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6.18%</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3</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24漳州V1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15,003,863.01</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3.07%</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4</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现金及银行存款</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现金及银行存款</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11,288,401.12</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2.31%</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5</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25国开05</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4,209,668.17</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0.86%</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6</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24特别国债06</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3,381,893.91</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0.69%</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7</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25交通银行CD006</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同业存单</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1,881,624.74</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0.38%</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8</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24中信银行CD337</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同业存单</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1,783,870.92</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0.36%</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9</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25建设银行CD006</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同业存单</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1,780,905.88</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0.36%</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10</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22中国银行二级01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1,618,736.56</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0.33%</w:t>
            </w:r>
          </w:p>
        </w:tc>
      </w:tr>
    </w:tbl>
    <w:p>
      <w:pPr>
        <w:pStyle w:val="标题4"/>
        <w:rPr>
          <w:rFonts w:ascii="楷体" w:eastAsia="楷体" w:hAnsi="楷体" w:cs="楷体" w:hint="eastAsia"/>
        </w:rPr>
      </w:pPr>
    </w:p>
    <w:p>
      <w:pPr>
        <w:pStyle w:val="Heading3"/>
        <w:numPr>
          <w:ilvl w:val="0"/>
          <w:numId w:val="3"/>
        </w:numPr>
        <w:rPr>
          <w:rFonts w:ascii="楷体" w:eastAsia="楷体" w:hAnsi="楷体" w:cs="楷体" w:hint="eastAsia"/>
          <w:b w:val="0"/>
          <w:sz w:val="21"/>
        </w:rPr>
      </w:pPr>
      <w:r>
        <w:rPr>
          <w:rFonts w:ascii="楷体" w:eastAsia="楷体" w:hAnsi="楷体" w:cs="楷体" w:hint="eastAsia"/>
          <w:b w:val="0"/>
          <w:sz w:val="21"/>
        </w:rPr>
        <w:t xml:space="preserve">非标资产情况</w:t>
      </w:r>
    </w:p>
    <w:p>
      <w:pPr>
        <w:ind w:firstLine="220" w:firstLineChars="100"/>
        <w:rPr>
          <w:rFonts w:ascii="楷体" w:eastAsia="楷体" w:hAnsi="楷体" w:cs="楷体" w:hint="eastAsia"/>
        </w:rPr>
      </w:pPr>
      <w:r>
        <w:rPr>
          <w:rFonts w:ascii="楷体" w:eastAsia="楷体" w:hAnsi="楷体" w:cs="楷体" w:hint="eastAsia"/>
          <w:sz w:val="22"/>
          <w:szCs w:val="24"/>
        </w:rPr>
        <w:t xml:space="preserve">1）非标资产投资情况</w:t>
      </w:r>
    </w:p>
    <w:tbl>
      <w:tblPr>
        <w:tblStyle w:val="TableNormal"/>
        <w:tblW w:w="8811" w:type="dxa"/>
        <w:tblInd w:w="0" w:type="dxa"/>
        <w:tblLayout w:type="fixed"/>
        <w:tblCellMar>
          <w:top w:w="0" w:type="dxa"/>
          <w:left w:w="108" w:type="dxa"/>
          <w:bottom w:w="0" w:type="dxa"/>
          <w:right w:w="108" w:type="dxa"/>
        </w:tblCellMar>
        <w:tblLook w:firstRow="0" w:lastRow="0" w:firstColumn="0" w:lastColumn="0" w:noHBand="1" w:noVBand="1"/>
      </w:tblPr>
      <w:tblGrid>
        <w:gridCol w:w="1401"/>
        <w:gridCol w:w="1410"/>
        <w:gridCol w:w="1245"/>
        <w:gridCol w:w="1485"/>
        <w:gridCol w:w="1335"/>
        <w:gridCol w:w="1080"/>
        <w:gridCol w:w="855"/>
      </w:tblGrid>
      <w:tr>
        <w:tblPrEx>
          <w:tblW w:w="8811" w:type="dxa"/>
          <w:tblInd w:w="0" w:type="dxa"/>
          <w:tblLayout w:type="fixed"/>
          <w:tblCellMar>
            <w:top w:w="0" w:type="dxa"/>
            <w:left w:w="108" w:type="dxa"/>
            <w:bottom w:w="0" w:type="dxa"/>
            <w:right w:w="108" w:type="dxa"/>
          </w:tblCellMar>
        </w:tblPrEx>
        <w:trPr>
          <w:trHeight w:val="270"/>
        </w:trPr>
        <w:tc>
          <w:tcPr>
            <w:tcW w:w="1401" w:type="dxa"/>
            <w:tcBorders>
              <w:top w:val="single" w:sz="4" w:space="0" w:color="auto"/>
              <w:left w:val="single" w:sz="4" w:space="0" w:color="auto"/>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融资客户</w:t>
            </w:r>
          </w:p>
        </w:tc>
        <w:tc>
          <w:tcPr>
            <w:tcW w:w="1410"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项目名称</w:t>
            </w:r>
          </w:p>
        </w:tc>
        <w:tc>
          <w:tcPr>
            <w:tcW w:w="124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剩余融资期限（天）</w:t>
            </w:r>
          </w:p>
        </w:tc>
        <w:tc>
          <w:tcPr>
            <w:tcW w:w="148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资产面值</w:t>
            </w:r>
          </w:p>
        </w:tc>
        <w:tc>
          <w:tcPr>
            <w:tcW w:w="133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到期分配方式</w:t>
            </w:r>
          </w:p>
        </w:tc>
        <w:tc>
          <w:tcPr>
            <w:tcW w:w="1080"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交易结构</w:t>
            </w:r>
          </w:p>
        </w:tc>
        <w:tc>
          <w:tcPr>
            <w:tcW w:w="85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风险状况</w:t>
            </w:r>
          </w:p>
        </w:tc>
      </w:tr>
      <w:tr>
        <w:tblPrEx>
          <w:tblW w:w="8811" w:type="dxa"/>
          <w:tblInd w:w="0" w:type="dxa"/>
          <w:tblLayout w:type="fixed"/>
          <w:tblCellMar>
            <w:top w:w="0" w:type="dxa"/>
            <w:left w:w="108" w:type="dxa"/>
            <w:bottom w:w="0" w:type="dxa"/>
            <w:right w:w="108" w:type="dxa"/>
          </w:tblCellMar>
        </w:tblPrEx>
        <w:trPr>
          <w:trHeight w:val="270"/>
        </w:trPr>
        <w:tc>
          <w:tcPr>
            <w:tcW w:w="1401"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w:t>
            </w:r>
          </w:p>
        </w:tc>
        <w:tc>
          <w:tcPr>
            <w:tcW w:w="1410"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w:t>
            </w:r>
          </w:p>
        </w:tc>
        <w:tc>
          <w:tcPr>
            <w:tcW w:w="124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w:t>
            </w:r>
          </w:p>
        </w:tc>
        <w:tc>
          <w:tcPr>
            <w:tcW w:w="148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w:t>
            </w:r>
          </w:p>
        </w:tc>
        <w:tc>
          <w:tcPr>
            <w:tcW w:w="133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c>
          <w:tcPr>
            <w:tcW w:w="1080"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c>
          <w:tcPr>
            <w:tcW w:w="85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r>
    </w:tbl>
    <w:p>
      <w:pPr>
        <w:pStyle w:val="标题4"/>
        <w:rPr>
          <w:rFonts w:ascii="楷体" w:eastAsia="楷体" w:hAnsi="楷体" w:cs="楷体" w:hint="eastAsia"/>
        </w:rPr>
      </w:pPr>
    </w:p>
    <w:p>
      <w:pPr>
        <w:spacing w:line="320" w:lineRule="exact"/>
        <w:ind w:firstLine="220" w:firstLineChars="100"/>
        <w:rPr>
          <w:rFonts w:ascii="楷体" w:eastAsia="楷体" w:hAnsi="楷体" w:cs="楷体" w:hint="eastAsia"/>
        </w:rPr>
      </w:pPr>
      <w:r>
        <w:rPr>
          <w:rFonts w:ascii="楷体" w:eastAsia="楷体" w:hAnsi="楷体" w:cs="楷体" w:hint="eastAsia"/>
          <w:sz w:val="22"/>
          <w:szCs w:val="24"/>
        </w:rPr>
        <w:t xml:space="preserve">2）融资客户情况</w:t>
      </w:r>
    </w:p>
    <w:tbl>
      <w:tblPr>
        <w:tblStyle w:val="TableGrid"/>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1412"/>
        <w:gridCol w:w="1399"/>
        <w:gridCol w:w="1263"/>
        <w:gridCol w:w="4746"/>
      </w:tblGrid>
      <w:tr>
        <w:tblPrEx>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309"/>
        </w:trPr>
        <w:tc>
          <w:tcPr>
            <w:tcW w:w="1412"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融资客户</w:t>
            </w:r>
          </w:p>
        </w:tc>
        <w:tc>
          <w:tcPr>
            <w:tcW w:w="1399"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成立日期</w:t>
            </w:r>
          </w:p>
        </w:tc>
        <w:tc>
          <w:tcPr>
            <w:tcW w:w="1263"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注册资本（元）</w:t>
            </w:r>
          </w:p>
        </w:tc>
        <w:tc>
          <w:tcPr>
            <w:tcW w:w="4746"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经营范围</w:t>
            </w:r>
          </w:p>
        </w:tc>
      </w:tr>
      <w:tr>
        <w:tblPrEx>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412"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c>
          <w:tcPr>
            <w:tcW w:w="1399"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c>
          <w:tcPr>
            <w:tcW w:w="1263"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c>
          <w:tcPr>
            <w:tcW w:w="4746"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r>
    </w:tbl>
    <w:p>
      <w:pPr>
        <w:pStyle w:val="标题4"/>
        <w:rPr>
          <w:rFonts w:ascii="楷体" w:eastAsia="楷体" w:hAnsi="楷体" w:cs="楷体" w:hint="eastAsia"/>
        </w:rPr>
      </w:pPr>
    </w:p>
    <w:p>
      <w:pPr>
        <w:pStyle w:val="Heading3"/>
        <w:rPr>
          <w:rFonts w:ascii="楷体" w:eastAsia="楷体" w:hAnsi="楷体" w:cs="楷体" w:hint="eastAsia"/>
          <w:b w:val="0"/>
          <w:sz w:val="21"/>
        </w:rPr>
      </w:pPr>
      <w:r>
        <w:rPr>
          <w:rFonts w:ascii="楷体" w:eastAsia="楷体" w:hAnsi="楷体" w:cs="楷体" w:hint="eastAsia"/>
          <w:b w:val="0"/>
          <w:sz w:val="21"/>
        </w:rPr>
        <w:t xml:space="preserve">（四）关联交易情况</w:t>
      </w:r>
    </w:p>
    <w:p>
      <w:pPr>
        <w:spacing w:line="320" w:lineRule="exact"/>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1）报告期内投资于关联方发行的证券或其他金融工具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65"/>
        <w:gridCol w:w="1440"/>
        <w:gridCol w:w="1425"/>
        <w:gridCol w:w="2115"/>
        <w:gridCol w:w="2176"/>
      </w:tblGrid>
      <w:tr>
        <w:tblPrEx>
          <w:tblW w:w="8621" w:type="dxa"/>
          <w:tblInd w:w="0" w:type="dxa"/>
          <w:tblLayout w:type="fixed"/>
          <w:tblCellMar>
            <w:top w:w="0" w:type="dxa"/>
            <w:left w:w="108" w:type="dxa"/>
            <w:bottom w:w="0" w:type="dxa"/>
            <w:right w:w="108" w:type="dxa"/>
          </w:tblCellMar>
        </w:tblPrEx>
        <w:trPr>
          <w:trHeight w:val="283"/>
        </w:trPr>
        <w:tc>
          <w:tcPr>
            <w:tcW w:w="146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证券代码</w:t>
            </w:r>
          </w:p>
        </w:tc>
        <w:tc>
          <w:tcPr>
            <w:tcW w:w="142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证券简称</w:t>
            </w:r>
          </w:p>
        </w:tc>
        <w:tc>
          <w:tcPr>
            <w:tcW w:w="211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报告期投资的证券数量（张）</w:t>
            </w:r>
          </w:p>
        </w:tc>
        <w:tc>
          <w:tcPr>
            <w:tcW w:w="217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6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2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1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rPr>
          <w:rFonts w:ascii="楷体" w:eastAsia="楷体" w:hAnsi="楷体" w:cs="楷体" w:hint="eastAsia"/>
        </w:rPr>
      </w:pPr>
    </w:p>
    <w:p>
      <w:pPr>
        <w:ind w:firstLine="220" w:firstLineChars="100"/>
        <w:rPr>
          <w:rFonts w:ascii="楷体" w:eastAsia="楷体" w:hAnsi="楷体" w:cs="楷体" w:hint="eastAsia"/>
        </w:rPr>
      </w:pPr>
      <w:r>
        <w:rPr>
          <w:rFonts w:ascii="楷体" w:eastAsia="楷体" w:hAnsi="楷体" w:cs="楷体" w:hint="eastAsia"/>
          <w:sz w:val="22"/>
          <w:szCs w:val="24"/>
        </w:rPr>
        <w:t xml:space="preserve">2）报告期内投资于关联方承销的证券或其他金融工具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80"/>
        <w:gridCol w:w="1440"/>
        <w:gridCol w:w="1425"/>
        <w:gridCol w:w="2085"/>
        <w:gridCol w:w="2191"/>
      </w:tblGrid>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证券代码</w:t>
            </w:r>
          </w:p>
        </w:tc>
        <w:tc>
          <w:tcPr>
            <w:tcW w:w="142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证券简称</w:t>
            </w:r>
          </w:p>
        </w:tc>
        <w:tc>
          <w:tcPr>
            <w:tcW w:w="208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报告期投资的证券数量（张）</w:t>
            </w:r>
          </w:p>
        </w:tc>
        <w:tc>
          <w:tcPr>
            <w:tcW w:w="2191"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2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08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91"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rPr>
          <w:rFonts w:ascii="楷体" w:eastAsia="楷体" w:hAnsi="楷体" w:cs="楷体" w:hint="eastAsia"/>
        </w:rPr>
      </w:pPr>
    </w:p>
    <w:p>
      <w:pPr>
        <w:numPr>
          <w:ilvl w:val="0"/>
          <w:numId w:val="4"/>
        </w:numPr>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报告期内投资于关联方管理的资管产品或其他金融工具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80"/>
        <w:gridCol w:w="1440"/>
        <w:gridCol w:w="1395"/>
        <w:gridCol w:w="2130"/>
        <w:gridCol w:w="2176"/>
      </w:tblGrid>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金融工具代码</w:t>
            </w:r>
          </w:p>
        </w:tc>
        <w:tc>
          <w:tcPr>
            <w:tcW w:w="139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金融工具名称</w:t>
            </w:r>
          </w:p>
        </w:tc>
        <w:tc>
          <w:tcPr>
            <w:tcW w:w="213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w:t>
            </w:r>
          </w:p>
        </w:tc>
        <w:tc>
          <w:tcPr>
            <w:tcW w:w="217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江苏省国际信托有限责任公司</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NETA20201230000002</w:t>
            </w:r>
          </w:p>
        </w:tc>
        <w:tc>
          <w:tcPr>
            <w:tcW w:w="139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江苏信托鼎泰1号集合资金信托计划</w:t>
            </w:r>
          </w:p>
        </w:tc>
        <w:tc>
          <w:tcPr>
            <w:tcW w:w="213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146,505,462.00</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180,000,000.00</w:t>
            </w:r>
          </w:p>
        </w:tc>
      </w:tr>
    </w:tbl>
    <w:p>
      <w:pPr>
        <w:rPr>
          <w:rFonts w:ascii="楷体" w:eastAsia="楷体" w:hAnsi="楷体" w:cs="楷体" w:hint="eastAsia"/>
          <w:sz w:val="22"/>
          <w:szCs w:val="24"/>
        </w:rPr>
      </w:pPr>
    </w:p>
    <w:p>
      <w:pPr>
        <w:numPr>
          <w:ilvl w:val="0"/>
          <w:numId w:val="4"/>
        </w:numPr>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报告期内的其他关联交易</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930"/>
        <w:gridCol w:w="3540"/>
        <w:gridCol w:w="3151"/>
      </w:tblGrid>
      <w:tr>
        <w:tblPrEx>
          <w:tblW w:w="8621" w:type="dxa"/>
          <w:tblInd w:w="0" w:type="dxa"/>
          <w:tblLayout w:type="fixed"/>
          <w:tblCellMar>
            <w:top w:w="0" w:type="dxa"/>
            <w:left w:w="108" w:type="dxa"/>
            <w:bottom w:w="0" w:type="dxa"/>
            <w:right w:w="108" w:type="dxa"/>
          </w:tblCellMar>
        </w:tblPrEx>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交易类型</w:t>
            </w:r>
          </w:p>
        </w:tc>
        <w:tc>
          <w:tcPr>
            <w:tcW w:w="35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3151"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关联交易金额（元）</w:t>
            </w:r>
          </w:p>
        </w:tc>
      </w:tr>
      <w:tr>
        <w:tblPrEx>
          <w:tblW w:w="8621" w:type="dxa"/>
          <w:tblInd w:w="0" w:type="dxa"/>
          <w:tblLayout w:type="fixed"/>
          <w:tblCellMar>
            <w:top w:w="0" w:type="dxa"/>
            <w:left w:w="108" w:type="dxa"/>
            <w:bottom w:w="0" w:type="dxa"/>
            <w:right w:w="108" w:type="dxa"/>
          </w:tblCellMar>
        </w:tblPrEx>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代销费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163,345.46</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托管费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54,540.05</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二级交易</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苏银理财有限责任公司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206,930,007.94</w:t>
            </w:r>
          </w:p>
        </w:tc>
      </w:tr>
    </w:tbl>
    <w:p>
      <w:pPr>
        <w:pStyle w:val="标题4"/>
        <w:rPr>
          <w:rFonts w:ascii="楷体" w:eastAsia="楷体" w:hAnsi="楷体" w:cs="楷体" w:hint="eastAsia"/>
          <w:sz w:val="21"/>
          <w:szCs w:val="21"/>
        </w:rPr>
      </w:pPr>
      <w:r>
        <w:rPr>
          <w:rFonts w:ascii="楷体" w:eastAsia="楷体" w:hAnsi="楷体" w:cs="楷体" w:hint="eastAsia"/>
          <w:sz w:val="21"/>
          <w:szCs w:val="21"/>
        </w:rPr>
        <w:t xml:space="preserve">注：本报告中理财产品托管费、代销费、直销费均基于产品实际支付金额进行统计。</w:t>
      </w:r>
    </w:p>
    <w:p>
      <w:pPr>
        <w:pStyle w:val="标题4"/>
        <w:rPr>
          <w:rFonts w:ascii="楷体" w:eastAsia="楷体" w:hAnsi="楷体" w:cs="楷体" w:hint="eastAsia"/>
        </w:rPr>
      </w:pPr>
    </w:p>
    <w:p>
      <w:pPr>
        <w:rPr>
          <w:rFonts w:ascii="楷体" w:eastAsia="楷体" w:hAnsi="楷体" w:cs="楷体" w:hint="eastAsia"/>
          <w:sz w:val="22"/>
          <w:szCs w:val="24"/>
        </w:rPr>
      </w:pPr>
      <w:r>
        <w:rPr>
          <w:rFonts w:ascii="楷体" w:eastAsia="楷体" w:hAnsi="楷体" w:cs="楷体" w:hint="eastAsia"/>
          <w:sz w:val="22"/>
          <w:szCs w:val="24"/>
        </w:rPr>
        <w:t xml:space="preserve">（五）自有资金投资情况</w:t>
      </w:r>
    </w:p>
    <w:tbl>
      <w:tblPr>
        <w:tblStyle w:val="TableNormal"/>
        <w:tblW w:w="7299" w:type="dxa"/>
        <w:tblInd w:w="0" w:type="dxa"/>
        <w:tblLayout w:type="fixed"/>
        <w:tblCellMar>
          <w:top w:w="0" w:type="dxa"/>
          <w:left w:w="108" w:type="dxa"/>
          <w:bottom w:w="0" w:type="dxa"/>
          <w:right w:w="108" w:type="dxa"/>
        </w:tblCellMar>
        <w:tblLook w:firstRow="0" w:lastRow="0" w:firstColumn="0" w:lastColumn="0" w:noHBand="1" w:noVBand="1"/>
      </w:tblPr>
      <w:tblGrid>
        <w:gridCol w:w="2796"/>
        <w:gridCol w:w="4503"/>
      </w:tblGrid>
      <w:tr>
        <w:tblPrEx>
          <w:tblW w:w="7299" w:type="dxa"/>
          <w:tblInd w:w="0" w:type="dxa"/>
          <w:tblLayout w:type="fixed"/>
          <w:tblCellMar>
            <w:top w:w="0" w:type="dxa"/>
            <w:left w:w="108" w:type="dxa"/>
            <w:bottom w:w="0" w:type="dxa"/>
            <w:right w:w="108" w:type="dxa"/>
          </w:tblCellMar>
        </w:tblPrEx>
        <w:trPr>
          <w:trHeight w:val="311"/>
        </w:trPr>
        <w:tc>
          <w:tcPr>
            <w:tcW w:w="279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产品名称</w:t>
            </w:r>
          </w:p>
        </w:tc>
        <w:tc>
          <w:tcPr>
            <w:tcW w:w="4503"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持有份额（份）</w:t>
            </w:r>
          </w:p>
        </w:tc>
      </w:tr>
      <w:tr>
        <w:tblPrEx>
          <w:tblW w:w="7299" w:type="dxa"/>
          <w:tblInd w:w="0" w:type="dxa"/>
          <w:tblLayout w:type="fixed"/>
          <w:tblCellMar>
            <w:top w:w="0" w:type="dxa"/>
            <w:left w:w="108" w:type="dxa"/>
            <w:bottom w:w="0" w:type="dxa"/>
            <w:right w:w="108" w:type="dxa"/>
          </w:tblCellMar>
        </w:tblPrEx>
        <w:trPr>
          <w:trHeight w:val="378"/>
        </w:trPr>
        <w:tc>
          <w:tcPr>
            <w:tcW w:w="279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4503"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ind w:firstLine="420" w:firstLineChars="200"/>
        <w:rPr>
          <w:rFonts w:ascii="楷体" w:eastAsia="楷体" w:hAnsi="楷体" w:cs="楷体" w:hint="eastAsia"/>
          <w:bCs/>
          <w:kern w:val="0"/>
          <w:sz w:val="21"/>
          <w:szCs w:val="21"/>
        </w:rPr>
      </w:pPr>
      <w:r>
        <w:rPr>
          <w:rFonts w:ascii="楷体" w:eastAsia="楷体" w:hAnsi="楷体" w:cs="楷体" w:hint="eastAsia"/>
          <w:bCs/>
          <w:kern w:val="0"/>
          <w:sz w:val="21"/>
          <w:szCs w:val="21"/>
        </w:rPr>
        <w:t xml:space="preserve">本公司自有资金投资本公司管理的理财产品适用的费率均不优于其他投资者。</w:t>
      </w:r>
    </w:p>
    <w:p>
      <w:pPr>
        <w:ind w:firstLine="420" w:firstLineChars="200"/>
        <w:rPr>
          <w:rFonts w:ascii="楷体" w:eastAsia="楷体" w:hAnsi="楷体" w:cs="楷体" w:hint="eastAsia"/>
          <w:bCs/>
          <w:kern w:val="0"/>
          <w:szCs w:val="21"/>
        </w:rPr>
      </w:pPr>
    </w:p>
    <w:p>
      <w:pPr>
        <w:rPr>
          <w:rFonts w:ascii="楷体" w:eastAsia="楷体" w:hAnsi="楷体" w:cs="楷体" w:hint="eastAsia"/>
          <w:sz w:val="22"/>
          <w:szCs w:val="24"/>
        </w:rPr>
      </w:pPr>
      <w:r>
        <w:rPr>
          <w:rFonts w:ascii="楷体" w:eastAsia="楷体" w:hAnsi="楷体" w:cs="楷体" w:hint="eastAsia"/>
          <w:sz w:val="22"/>
          <w:szCs w:val="24"/>
        </w:rPr>
        <w:t xml:space="preserve">（六）理财产品份额变动情况</w:t>
      </w:r>
    </w:p>
    <w:tbl>
      <w:tblPr>
        <w:tblStyle w:val="TableNormal"/>
        <w:tblW w:w="7305" w:type="dxa"/>
        <w:tblInd w:w="0" w:type="dxa"/>
        <w:tblLayout w:type="fixed"/>
        <w:tblCellMar>
          <w:top w:w="0" w:type="dxa"/>
          <w:left w:w="108" w:type="dxa"/>
          <w:bottom w:w="0" w:type="dxa"/>
          <w:right w:w="108" w:type="dxa"/>
        </w:tblCellMar>
        <w:tblLook w:firstRow="0" w:lastRow="0" w:firstColumn="0" w:lastColumn="0" w:noHBand="1" w:noVBand="1"/>
      </w:tblPr>
      <w:tblGrid>
        <w:gridCol w:w="2798"/>
        <w:gridCol w:w="4507"/>
      </w:tblGrid>
      <w:tr>
        <w:tblPrEx>
          <w:tblW w:w="7305" w:type="dxa"/>
          <w:tblInd w:w="0" w:type="dxa"/>
          <w:tblLayout w:type="fixed"/>
          <w:tblCellMar>
            <w:top w:w="0" w:type="dxa"/>
            <w:left w:w="108" w:type="dxa"/>
            <w:bottom w:w="0" w:type="dxa"/>
            <w:right w:w="108" w:type="dxa"/>
          </w:tblCellMar>
        </w:tblPrEx>
        <w:trPr>
          <w:trHeight w:val="311"/>
        </w:trPr>
        <w:tc>
          <w:tcPr>
            <w:tcW w:w="2798" w:type="dxa"/>
            <w:tcBorders>
              <w:top w:val="single" w:sz="4" w:space="0" w:color="000000"/>
              <w:left w:val="single" w:sz="4" w:space="0" w:color="000000"/>
              <w:bottom w:val="single" w:sz="4" w:space="0" w:color="000000"/>
              <w:right w:val="single" w:sz="4" w:space="0" w:color="000000"/>
            </w:tcBorders>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日期</w:t>
            </w:r>
          </w:p>
        </w:tc>
        <w:tc>
          <w:tcPr>
            <w:tcW w:w="4507" w:type="dxa"/>
            <w:tcBorders>
              <w:top w:val="single" w:sz="4" w:space="0" w:color="000000"/>
              <w:left w:val="single" w:sz="4" w:space="0" w:color="000000"/>
              <w:bottom w:val="single" w:sz="4" w:space="0" w:color="000000"/>
              <w:right w:val="single" w:sz="4" w:space="0" w:color="000000"/>
            </w:tcBorders>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持有份额（份）</w:t>
            </w:r>
          </w:p>
        </w:tc>
      </w:tr>
      <w:tr>
        <w:tblPrEx>
          <w:tblW w:w="7305" w:type="dxa"/>
          <w:tblInd w:w="0" w:type="dxa"/>
          <w:tblLayout w:type="fixed"/>
          <w:tblCellMar>
            <w:top w:w="0" w:type="dxa"/>
            <w:left w:w="108" w:type="dxa"/>
            <w:bottom w:w="0" w:type="dxa"/>
            <w:right w:w="108" w:type="dxa"/>
          </w:tblCellMar>
        </w:tblPrEx>
        <w:trPr>
          <w:trHeight w:val="320"/>
        </w:trPr>
        <w:tc>
          <w:tcPr>
            <w:tcW w:w="2798" w:type="dxa"/>
            <w:tcBorders>
              <w:top w:val="single" w:sz="4" w:space="0" w:color="000000"/>
              <w:left w:val="single" w:sz="4" w:space="0" w:color="000000"/>
              <w:bottom w:val="single" w:sz="4" w:space="0" w:color="000000"/>
              <w:right w:val="single" w:sz="4" w:space="0" w:color="000000"/>
            </w:tcBorders>
          </w:tcPr>
          <w:p>
            <w:pPr>
              <w:jc w:val="center"/>
              <w:rPr>
                <w:rFonts w:ascii="楷体" w:eastAsia="楷体" w:hAnsi="楷体" w:cs="楷体" w:hint="eastAsia"/>
                <w:sz w:val="22"/>
              </w:rPr>
            </w:pPr>
            <w:r>
              <w:rPr>
                <w:rFonts w:ascii="楷体" w:eastAsia="楷体" w:hAnsi="楷体" w:cs="楷体" w:hint="eastAsia"/>
                <w:sz w:val="22"/>
              </w:rPr>
              <w:t xml:space="preserve">2025-06-30</w:t>
            </w:r>
          </w:p>
        </w:tc>
        <w:tc>
          <w:tcPr>
            <w:tcW w:w="4507" w:type="dxa"/>
            <w:tcBorders>
              <w:top w:val="single" w:sz="4" w:space="0" w:color="000000"/>
              <w:left w:val="single" w:sz="4" w:space="0" w:color="000000"/>
              <w:bottom w:val="single" w:sz="4" w:space="0" w:color="000000"/>
              <w:right w:val="single" w:sz="4" w:space="0" w:color="000000"/>
            </w:tcBorders>
          </w:tcPr>
          <w:p>
            <w:pPr>
              <w:jc w:val="center"/>
              <w:rPr>
                <w:rFonts w:ascii="楷体" w:eastAsia="楷体" w:hAnsi="楷体" w:cs="楷体" w:hint="eastAsia"/>
                <w:sz w:val="22"/>
              </w:rPr>
            </w:pPr>
            <w:r>
              <w:rPr>
                <w:rFonts w:ascii="楷体" w:eastAsia="楷体" w:hAnsi="楷体" w:cs="楷体" w:hint="eastAsia"/>
                <w:sz w:val="22"/>
              </w:rPr>
              <w:t xml:space="preserve">455,585,275.65</w:t>
            </w:r>
          </w:p>
        </w:tc>
      </w:tr>
      <w:tr>
        <w:trPr>
          <w:trHeight w:val="320"/>
        </w:trPr>
        <w:tc>
          <w:tcPr>
            <w:tcW w:w="2798" w:type="dxa"/>
            <w:tcBorders>
              <w:top w:val="single" w:sz="4" w:space="0" w:color="000000"/>
              <w:left w:val="single" w:sz="4" w:space="0" w:color="000000"/>
              <w:bottom w:val="single" w:sz="4" w:space="0" w:color="000000"/>
              <w:right w:val="single" w:sz="4" w:space="0" w:color="000000"/>
            </w:tcBorders>
          </w:tcPr>
          <w:p>
            <w:pPr>
              <w:pageBreakBefore w:val="0"/>
              <w:jc w:val="center"/>
              <w:textAlignment w:val="auto"/>
            </w:pPr>
            <w:r>
              <w:rPr>
                <w:rFonts w:ascii="楷体" w:eastAsia="楷体" w:hAnsi="楷体" w:cs="楷体"/>
                <w:b w:val="0"/>
                <w:i w:val="0"/>
                <w:strike w:val="0"/>
                <w:color w:val="auto"/>
                <w:position w:val="-1"/>
                <w:sz w:val="22"/>
                <w:u w:val="none"/>
              </w:rPr>
              <w:t xml:space="preserve">2025-03-31</w:t>
            </w:r>
          </w:p>
        </w:tc>
        <w:tc>
          <w:tcPr>
            <w:tcW w:w="4507" w:type="dxa"/>
            <w:tcBorders>
              <w:top w:val="single" w:sz="4" w:space="0" w:color="000000"/>
              <w:left w:val="single" w:sz="4" w:space="0" w:color="000000"/>
              <w:bottom w:val="single" w:sz="4" w:space="0" w:color="000000"/>
              <w:right w:val="single" w:sz="4" w:space="0" w:color="000000"/>
            </w:tcBorders>
          </w:tcPr>
          <w:p>
            <w:pPr>
              <w:pageBreakBefore w:val="0"/>
              <w:jc w:val="center"/>
              <w:textAlignment w:val="auto"/>
            </w:pPr>
            <w:r>
              <w:rPr>
                <w:rFonts w:ascii="楷体" w:eastAsia="楷体" w:hAnsi="楷体" w:cs="楷体"/>
                <w:b w:val="0"/>
                <w:i w:val="0"/>
                <w:strike w:val="0"/>
                <w:color w:val="auto"/>
                <w:position w:val="-1"/>
                <w:sz w:val="22"/>
                <w:u w:val="none"/>
              </w:rPr>
              <w:t xml:space="preserve">552,514,973.92</w:t>
            </w:r>
          </w:p>
        </w:tc>
      </w:tr>
    </w:tbl>
    <w:p>
      <w:pPr>
        <w:pStyle w:val="标题4"/>
        <w:rPr>
          <w:rFonts w:ascii="楷体" w:eastAsia="楷体" w:hAnsi="楷体" w:cs="楷体" w:hint="eastAsia"/>
        </w:rPr>
      </w:pPr>
    </w:p>
    <w:p>
      <w:pPr>
        <w:pStyle w:val="Heading3"/>
        <w:rPr>
          <w:rFonts w:ascii="楷体" w:eastAsia="楷体" w:hAnsi="楷体" w:cs="楷体" w:hint="eastAsia"/>
          <w:spacing w:val="0"/>
        </w:rPr>
      </w:pPr>
      <w:bookmarkStart w:id="1" w:name="_GoBack"/>
      <w:r>
        <w:rPr>
          <w:rFonts w:ascii="楷体" w:eastAsia="楷体" w:hAnsi="楷体" w:cs="楷体" w:hint="eastAsia"/>
          <w:spacing w:val="0"/>
        </w:rPr>
        <w:t xml:space="preserve">四</w:t>
      </w:r>
      <w:r>
        <w:rPr>
          <w:rFonts w:ascii="楷体" w:hAnsi="楷体" w:cs="楷体" w:hint="eastAsia"/>
          <w:spacing w:val="0"/>
          <w:lang w:eastAsia="zh-CN"/>
        </w:rPr>
        <w:t xml:space="preserve">、</w:t>
      </w:r>
      <w:r>
        <w:rPr>
          <w:rFonts w:ascii="楷体" w:eastAsia="楷体" w:hAnsi="楷体" w:cs="楷体" w:hint="eastAsia"/>
          <w:spacing w:val="0"/>
        </w:rPr>
        <w:t xml:space="preserve">投资运作情况</w:t>
      </w:r>
    </w:p>
    <w:p>
      <w:pPr>
        <w:pStyle w:val="Heading3"/>
        <w:rPr>
          <w:rFonts w:ascii="楷体" w:eastAsia="楷体" w:hAnsi="楷体" w:cs="楷体" w:hint="eastAsia"/>
          <w:b w:val="0"/>
          <w:spacing w:val="0"/>
          <w:sz w:val="21"/>
          <w:szCs w:val="21"/>
        </w:rPr>
      </w:pPr>
      <w:r>
        <w:rPr>
          <w:rFonts w:ascii="楷体" w:eastAsia="楷体" w:hAnsi="楷体" w:cs="楷体" w:hint="eastAsia"/>
          <w:b w:val="0"/>
          <w:spacing w:val="0"/>
          <w:sz w:val="21"/>
          <w:szCs w:val="21"/>
        </w:rPr>
        <w:t xml:space="preserve">1、运作期回顾</w:t>
      </w:r>
    </w:p>
    <w:p>
      <w:pPr>
        <w:pStyle w:val="BodyText"/>
        <w:spacing w:before="0" w:line="240" w:lineRule="auto"/>
        <w:ind w:left="0" w:right="0" w:firstLine="0" w:firstLineChars="0"/>
        <w:rPr>
          <w:rFonts w:ascii="楷体" w:eastAsia="楷体" w:hAnsi="楷体" w:cs="楷体" w:hint="eastAsia"/>
          <w:spacing w:val="0"/>
          <w:sz w:val="21"/>
          <w:szCs w:val="21"/>
        </w:rPr>
      </w:pPr>
      <w:r>
        <w:rPr>
          <w:rFonts w:ascii="楷体" w:eastAsia="楷体" w:hAnsi="楷体" w:cs="楷体" w:hint="eastAsia"/>
          <w:spacing w:val="0"/>
          <w:sz w:val="21"/>
          <w:szCs w:val="21"/>
        </w:rPr>
        <w:t xml:space="preserve">    2025年上半年在货币政策节奏变化、流动性松紧转换以及海外事件驱动等多因素作用下，债市告别单边牛市，进入高波动震荡市。（1）1月初-3月底：稳汇率与防风险诉求上升，市场主线为资金面收紧与风险偏好抬升。年初稳汇率与防风险诉求下资金面持续紧张，长债与资金脱敏、表现具有韧性。春节后非银存款流失与信贷“开门红”影响下，银行负债端压力仍大，存单利率至2.0%上方；央行持续净回笼，资金面仍维持紧平衡。二手房销量走强、Deepseek科技出现突破、民营企业座谈会召开等事件使得宏观叙事的积极转变，风险偏好显著提升，叠加资金紧张情绪由短及长传递，长端利率快速上行。3月中下旬，随着赎回担忧证伪、资金面边际稳定，债市震荡修复。（2）4月初-5月底：关税预期反复、货币政策落地，收益率快速下行后震荡回调。4月初受特朗普对等关税政策影响，宽货币预期再起，债牛快速重启，后续海外关税态度反复，超长期特别国债首发叠加政治局会议落地，债市维持震荡、博弈加剧，月末在换券行情和PMI数据带动下，债市再迎上涨。5月上旬货币政策落地带动资金价格下台阶，随后债市围绕关税谈判情况、基本面数据小幅震荡，下旬存款利率调降带来存款搬家预期、银行卖老券兑现利润预期等机构行为带动债市整体回调。（3）6月：利好因素累积增多，收益率再度下行但破前低仍需等待货币政策的新增利多。进入6月，大行持续买短债，央行买断式逆回购有力呵护，叠加基本面数据表现偏弱、地缘政治冲突加剧，债市利好因素累积增多，收益率基本处于下行通道，但止盈情绪升温制约债市进一步上涨空间，市场博弈利差挖掘行情。</w:t>
      </w:r>
      <w:r>
        <w:rPr>
          <w:rFonts w:ascii="楷体" w:eastAsia="楷体" w:hAnsi="楷体" w:cs="楷体" w:hint="eastAsia"/>
          <w:spacing w:val="0"/>
          <w:sz w:val="21"/>
          <w:szCs w:val="21"/>
        </w:rPr>
        <w:br/>
      </w:r>
      <w:r>
        <w:rPr>
          <w:rFonts w:ascii="楷体" w:eastAsia="楷体" w:hAnsi="楷体" w:cs="楷体" w:hint="eastAsia"/>
          <w:spacing w:val="0"/>
          <w:sz w:val="21"/>
          <w:szCs w:val="21"/>
        </w:rPr>
        <w:t xml:space="preserve">    本理财产品以固收类资产为主，通过对宏观经济、市场利率、债券市场需求供给的变化、信用风险等进行充分研判，主动构建并调整债券资产投资组合，力争获取超额收益。</w:t>
      </w:r>
    </w:p>
    <w:p>
      <w:pPr>
        <w:pStyle w:val="BodyText"/>
        <w:spacing w:before="0" w:line="240" w:lineRule="auto"/>
        <w:ind w:left="0" w:right="0" w:firstLine="0" w:firstLineChars="0"/>
        <w:rPr>
          <w:rFonts w:ascii="楷体" w:eastAsia="楷体" w:hAnsi="楷体" w:cs="楷体" w:hint="eastAsia"/>
          <w:spacing w:val="0"/>
          <w:sz w:val="21"/>
          <w:szCs w:val="21"/>
        </w:rPr>
      </w:pPr>
    </w:p>
    <w:p>
      <w:pPr>
        <w:pStyle w:val="Heading3"/>
        <w:rPr>
          <w:rFonts w:ascii="楷体" w:eastAsia="楷体" w:hAnsi="楷体" w:cs="楷体" w:hint="eastAsia"/>
          <w:b w:val="0"/>
          <w:spacing w:val="0"/>
          <w:sz w:val="21"/>
          <w:szCs w:val="21"/>
        </w:rPr>
      </w:pPr>
      <w:r>
        <w:rPr>
          <w:rFonts w:ascii="楷体" w:eastAsia="楷体" w:hAnsi="楷体" w:cs="楷体" w:hint="eastAsia"/>
          <w:b w:val="0"/>
          <w:spacing w:val="0"/>
          <w:sz w:val="21"/>
          <w:szCs w:val="21"/>
        </w:rPr>
        <w:t xml:space="preserve">2、后市展望及下阶段投资策略</w:t>
      </w:r>
    </w:p>
    <w:p>
      <w:pPr>
        <w:pStyle w:val="BodyText"/>
        <w:spacing w:before="0" w:line="240" w:lineRule="auto"/>
        <w:ind w:left="0" w:right="0" w:firstLine="0" w:firstLineChars="0"/>
        <w:jc w:val="left"/>
        <w:rPr>
          <w:rFonts w:ascii="楷体" w:eastAsia="楷体" w:hAnsi="楷体" w:cs="楷体" w:hint="eastAsia"/>
          <w:spacing w:val="0"/>
          <w:sz w:val="21"/>
          <w:szCs w:val="21"/>
        </w:rPr>
      </w:pPr>
      <w:r>
        <w:rPr>
          <w:rFonts w:ascii="楷体" w:eastAsia="楷体" w:hAnsi="楷体" w:cs="楷体" w:hint="eastAsia"/>
          <w:spacing w:val="0"/>
          <w:sz w:val="21"/>
          <w:szCs w:val="21"/>
        </w:rPr>
        <w:t xml:space="preserve">    未来，我司将持续对内外部经济环境进行密切跟踪和研判，持续关注各央行政策的边际变化，控制组合久期处于合理稳健区间。资产配置上兼顾安全性、流动性和收益性，坚守风险合规底线，紧密跟踪市场变化，强化投资研究分析，致力于为广大投资者创造长期稳健的投资回报。</w:t>
      </w:r>
    </w:p>
    <w:p>
      <w:pPr>
        <w:ind w:firstLine="0" w:firstLineChars="0"/>
        <w:rPr>
          <w:rFonts w:ascii="楷体" w:eastAsia="楷体" w:hAnsi="楷体" w:cs="楷体" w:hint="eastAsia"/>
          <w:bCs/>
          <w:spacing w:val="0"/>
          <w:kern w:val="0"/>
          <w:sz w:val="21"/>
          <w:szCs w:val="21"/>
        </w:rPr>
      </w:pPr>
    </w:p>
    <w:p>
      <w:pPr>
        <w:pStyle w:val="Heading3"/>
        <w:rPr>
          <w:rFonts w:ascii="楷体" w:eastAsia="楷体" w:hAnsi="楷体" w:cs="楷体" w:hint="eastAsia"/>
          <w:b w:val="0"/>
          <w:spacing w:val="0"/>
          <w:sz w:val="21"/>
          <w:szCs w:val="21"/>
        </w:rPr>
      </w:pPr>
      <w:r>
        <w:rPr>
          <w:rFonts w:ascii="楷体" w:eastAsia="楷体" w:hAnsi="楷体" w:cs="楷体" w:hint="eastAsia"/>
          <w:b w:val="0"/>
          <w:spacing w:val="0"/>
          <w:sz w:val="21"/>
          <w:szCs w:val="21"/>
        </w:rPr>
        <w:t xml:space="preserve">3、流动性风险分析</w:t>
      </w:r>
    </w:p>
    <w:p>
      <w:pPr>
        <w:pStyle w:val="BodyText"/>
        <w:spacing w:before="0" w:line="240" w:lineRule="auto"/>
        <w:ind w:left="0" w:right="0" w:firstLine="0" w:firstLineChars="0"/>
        <w:rPr>
          <w:rFonts w:ascii="楷体" w:eastAsia="楷体" w:hAnsi="楷体" w:cs="楷体" w:hint="eastAsia"/>
          <w:spacing w:val="0"/>
          <w:sz w:val="21"/>
          <w:szCs w:val="21"/>
        </w:rPr>
      </w:pPr>
      <w:r>
        <w:rPr>
          <w:rFonts w:ascii="楷体" w:eastAsia="楷体" w:hAnsi="楷体" w:cs="楷体" w:hint="eastAsia"/>
          <w:spacing w:val="0"/>
          <w:sz w:val="21"/>
          <w:szCs w:val="21"/>
        </w:rPr>
        <w:t xml:space="preserve">    本产品持仓资产以标准化债权类资产为主，变现能力较强，通过组合久期管理、流动性指标监测等多项措施持续加强流动性管理，有效控制产品的流动性风险。</w:t>
      </w:r>
      <w:bookmarkEnd w:id="1"/>
    </w:p>
    <w:p>
      <w:pPr>
        <w:pStyle w:val="BodyText"/>
        <w:spacing w:before="0" w:line="240" w:lineRule="auto"/>
        <w:ind w:left="0" w:right="0" w:firstLine="0" w:firstLineChars="0"/>
        <w:rPr>
          <w:rFonts w:ascii="楷体" w:eastAsia="楷体" w:hAnsi="楷体" w:cs="楷体" w:hint="eastAsia"/>
          <w:spacing w:val="9"/>
          <w:sz w:val="21"/>
        </w:rPr>
      </w:pPr>
    </w:p>
    <w:p>
      <w:pPr>
        <w:pStyle w:val="Heading3"/>
        <w:rPr>
          <w:rFonts w:ascii="楷体" w:hAnsi="楷体"/>
          <w:sz w:val="24"/>
          <w:szCs w:val="24"/>
        </w:rPr>
      </w:pPr>
      <w:r>
        <w:rPr>
          <w:rFonts w:ascii="楷体" w:hAnsi="楷体" w:hint="eastAsia"/>
          <w:sz w:val="24"/>
          <w:szCs w:val="24"/>
        </w:rPr>
        <w:t xml:space="preserve">五</w:t>
      </w:r>
      <w:r>
        <w:rPr>
          <w:rFonts w:ascii="楷体" w:hAnsi="楷体" w:hint="eastAsia"/>
          <w:sz w:val="24"/>
          <w:szCs w:val="24"/>
          <w:lang w:eastAsia="zh-CN"/>
        </w:rPr>
        <w:t xml:space="preserve">、</w:t>
      </w:r>
      <w:r>
        <w:rPr>
          <w:rFonts w:ascii="楷体" w:hAnsi="楷体" w:hint="eastAsia"/>
          <w:sz w:val="24"/>
          <w:szCs w:val="24"/>
        </w:rPr>
        <w:t xml:space="preserve">托管人报告</w:t>
      </w:r>
    </w:p>
    <w:p>
      <w:pPr>
        <w:ind w:firstLine="420" w:firstLineChars="200"/>
        <w:jc w:val="left"/>
        <w:rPr>
          <w:rFonts w:ascii="楷体" w:eastAsia="楷体" w:hAnsi="楷体" w:cs="楷体" w:hint="eastAsia"/>
          <w:spacing w:val="9"/>
          <w:sz w:val="21"/>
          <w:szCs w:val="21"/>
        </w:rPr>
      </w:pPr>
      <w:r>
        <w:rPr>
          <w:rFonts w:ascii="楷体" w:eastAsia="楷体" w:hAnsi="楷体" w:hint="eastAsia"/>
          <w:bCs/>
          <w:kern w:val="0"/>
          <w:sz w:val="21"/>
          <w:szCs w:val="21"/>
        </w:rPr>
        <w:t xml:space="preserve">在本报告期内，托管人严格遵守有关法律法规、托管协议关于托管人职责的约定，尽职尽责地履行了托管职责。在管理人提供的各项数据和信息真实、准确、有效的前提下，在托管人能够知悉和掌握的情况范围内，托管人对财务数据进行了复核，未发现存在虚假记载、误导性陈述或者重大遗漏的情形。</w:t>
      </w:r>
    </w:p>
    <w:p>
      <w:pPr>
        <w:rPr>
          <w:rFonts w:ascii="楷体" w:eastAsia="楷体" w:hAnsi="楷体" w:cs="楷体" w:hint="eastAsia"/>
          <w:sz w:val="21"/>
          <w:szCs w:val="21"/>
        </w:rPr>
      </w:pPr>
    </w:p>
    <w:p>
      <w:pPr>
        <w:jc w:val="right"/>
        <w:rPr>
          <w:rFonts w:ascii="楷体" w:eastAsia="楷体" w:hAnsi="楷体" w:cs="楷体" w:hint="eastAsia"/>
          <w:sz w:val="21"/>
          <w:szCs w:val="21"/>
        </w:rPr>
      </w:pPr>
      <w:r>
        <w:rPr>
          <w:rFonts w:ascii="楷体" w:eastAsia="楷体" w:hAnsi="楷体" w:cs="楷体" w:hint="eastAsia"/>
          <w:b/>
          <w:sz w:val="21"/>
          <w:szCs w:val="21"/>
        </w:rPr>
        <w:t xml:space="preserve">苏银理财有限责任公司</w:t>
      </w:r>
    </w:p>
    <w:p>
      <w:pPr>
        <w:ind w:firstLine="630" w:firstLineChars="300"/>
        <w:jc w:val="right"/>
        <w:rPr>
          <w:rFonts w:ascii="楷体" w:eastAsia="楷体" w:hAnsi="楷体" w:cs="楷体" w:hint="eastAsia"/>
          <w:sz w:val="21"/>
          <w:szCs w:val="21"/>
        </w:rPr>
      </w:pPr>
      <w:r>
        <w:rPr>
          <w:rFonts w:ascii="楷体" w:eastAsia="楷体" w:hAnsi="楷体" w:cs="楷体" w:hint="eastAsia"/>
          <w:sz w:val="21"/>
          <w:szCs w:val="21"/>
        </w:rPr>
        <w:t xml:space="preserve">2025年06月30日</w:t>
      </w:r>
    </w:p>
    <w:p>
      <w:pPr>
        <w:rPr>
          <w:rFonts w:ascii="楷体" w:eastAsia="楷体" w:hAnsi="楷体" w:cs="楷体" w:hint="eastAsia"/>
          <w:sz w:val="21"/>
          <w:szCs w:val="21"/>
        </w:rPr>
      </w:pPr>
    </w:p>
    <w:p>
      <w:pPr>
        <w:rPr>
          <w:rFonts w:ascii="楷体" w:eastAsia="楷体" w:hAnsi="楷体" w:cs="楷体" w:hint="eastAsia"/>
          <w:sz w:val="21"/>
          <w:szCs w:val="21"/>
        </w:rPr>
      </w:pPr>
      <w:r>
        <w:rPr>
          <w:rFonts w:ascii="楷体" w:eastAsia="楷体" w:hAnsi="楷体" w:cs="楷体" w:hint="eastAsia"/>
          <w:sz w:val="21"/>
          <w:szCs w:val="21"/>
        </w:rPr>
        <w:t xml:space="preserve">备注：本次披露内容解释权归苏银理财所有，不构成任何形式的法律要约或承诺。</w:t>
      </w:r>
    </w:p>
    <w:sectPr>
      <w:headerReference w:type="even" r:id="rId5"/>
      <w:headerReference w:type="default" r:id="rId6"/>
      <w:headerReference w:type="first" r:id="rId7"/>
      <w:footerReference w:type="default" r:id="rId8"/>
      <w:pgSz w:w="11906" w:h="16838" w:orient="portrait"/>
      <w:pgMar w:top="1440" w:right="1800" w:bottom="1440" w:left="1701" w:header="851" w:footer="992" w:gutter="0"/>
      <w:cols w:num="1" w:space="720">
        <w:col w:w="8405" w:space="720"/>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Auto"/>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Auto"/>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Auto"/>
    <w:pitch w:val="default"/>
    <w:sig w:usb0="E0002EFF" w:usb1="C0007843" w:usb2="00000009" w:usb3="00000000" w:csb0="400001FF" w:csb1="FFFF0000"/>
  </w:font>
  <w:font w:name="Symbol">
    <w:panose1 w:val="05050102010706020507"/>
    <w:charset w:val="02"/>
    <w:family w:val="Auto"/>
    <w:pitch w:val="default"/>
    <w:sig w:usb0="00000000" w:usb1="00000000" w:usb2="00000000" w:usb3="00000000" w:csb0="80000000" w:csb1="00000000"/>
  </w:font>
  <w:font w:name="Calibri">
    <w:panose1 w:val="020F0502020204030204"/>
    <w:charset w:val="00"/>
    <w:family w:val="Auto"/>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Footer"/>
      <w:jc w:val="center"/>
    </w:pPr>
    <w:r>
      <w:rPr>
        <w:lang w:val="zh-CN"/>
      </w:rPr>
      <w:t xml:space="preserve"> </w:t>
    </w:r>
    <w:r>
      <w:rPr>
        <w:b/>
        <w:bCs/>
      </w:rPr>
      <w:fldChar w:fldCharType="begin"/>
    </w:r>
    <w:r>
      <w:rPr>
        <w:b/>
        <w:bCs/>
      </w:rPr>
      <w:instrText xml:space="preserve">PAGE</w:instrText>
    </w:r>
    <w:r>
      <w:rPr>
        <w:b/>
        <w:bCs/>
        <w:sz w:val="24"/>
        <w:szCs w:val="24"/>
      </w:rPr>
      <w:fldChar w:fldCharType="separate"/>
    </w:r>
    <w:r>
      <w:rPr>
        <w:b/>
        <w:bCs/>
      </w:rPr>
      <w:t xml:space="preserve">2</w:t>
    </w:r>
    <w:r>
      <w:rPr>
        <w:b/>
        <w:bCs/>
        <w:sz w:val="24"/>
        <w:szCs w:val="24"/>
      </w:rPr>
      <w:fldChar w:fldCharType="end"/>
    </w:r>
    <w:r>
      <w:rPr>
        <w:lang w:val="zh-CN"/>
      </w:rPr>
      <w:t xml:space="preserve"> / </w:t>
    </w:r>
    <w:r>
      <w:rPr>
        <w:b/>
        <w:bCs/>
      </w:rPr>
      <w:fldChar w:fldCharType="begin"/>
    </w:r>
    <w:r>
      <w:rPr>
        <w:b/>
        <w:bCs/>
      </w:rPr>
      <w:instrText xml:space="preserve">NUMPAGES</w:instrText>
    </w:r>
    <w:r>
      <w:rPr>
        <w:b/>
        <w:bCs/>
        <w:sz w:val="24"/>
        <w:szCs w:val="24"/>
      </w:rPr>
      <w:fldChar w:fldCharType="separate"/>
    </w:r>
    <w:r>
      <w:rPr>
        <w:b/>
        <w:bCs/>
      </w:rPr>
      <w:t xml:space="preserve">4</w:t>
    </w:r>
    <w:r>
      <w:rPr>
        <w:b/>
        <w:bCs/>
        <w:sz w:val="24"/>
        <w:szCs w:val="24"/>
      </w:rPr>
      <w:fldChar w:fldCharType="end"/>
    </w:r>
  </w:p>
  <w:p>
    <w:pPr>
      <w:pStyle w:val="Footer"/>
    </w:pPr>
  </w:p>
</w:ftr>
</file>

<file path=word/header1.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Header"/>
    </w:pPr>
    <w:r>
      <w:rPr/>
      <w:pict>
        <v:shape id="WordPictureWatermark1025" o:spid="WordPictureWatermark3000" type="#_x0000_t75" style="height:862.85pt;margin-left:0;margin-top:0;mso-height-relative:page;mso-position-horizontal:center;mso-position-horizontal-relative:margin;mso-position-vertical:center;mso-position-vertical-relative:margin;mso-width-relative:page;position:absolute;width:1137.35pt;z-index:-251656192" coordsize="21600,21600" o:allowincell="f" o:preferrelative="t" filled="f" stroked="f">
          <v:stroke joinstyle="miter"/>
          <v:imagedata r:id="rId1" o:title="苏银理财" gain="19661f" blacklevel="22938f"/>
          <o:lock v:ext="edit" aspectratio="t"/>
          <w10:wrap anchorx="margin" anchory="margin"/>
        </v:shape>
      </w:pict>
    </w:r>
  </w:p>
</w:hdr>
</file>

<file path=word/header2.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BodyText"/>
      <w:kinsoku w:val="0"/>
      <w:overflowPunct w:val="0"/>
      <w:spacing w:before="0" w:line="320" w:lineRule="exact"/>
      <w:ind w:left="20"/>
      <w:jc w:val="both"/>
      <w:rPr>
        <w:rFonts w:ascii="楷体" w:eastAsia="楷体" w:hAnsi="楷体" w:cs="黑体"/>
        <w:b/>
        <w:spacing w:val="-2"/>
        <w:sz w:val="24"/>
        <w:szCs w:val="24"/>
      </w:rPr>
    </w:pPr>
    <w:r>
      <w:rPr/>
      <w:pict>
        <v:shape id="WordPictureWatermark1026" o:spid="WordPictureWatermark3002" type="#_x0000_t75" style="height:862.85pt;margin-left:0;margin-top:0;mso-height-relative:page;mso-position-horizontal:center;mso-position-horizontal-relative:margin;mso-position-vertical:center;mso-position-vertical-relative:margin;mso-width-relative:page;position:absolute;width:1137.35pt;z-index:-251655168" coordsize="21600,21600" o:allowincell="f" o:preferrelative="t" filled="f" stroked="f">
          <v:stroke joinstyle="miter"/>
          <v:imagedata r:id="rId1" o:title="苏银理财" gain="19661f" blacklevel="22938f"/>
          <o:lock v:ext="edit" aspectratio="t"/>
          <w10:wrap anchorx="margin" anchory="margin"/>
        </v:shape>
      </w:pict>
    </w:r>
    <w:r>
      <w:pict>
        <v:shape id="图片 1" o:spid="_x0000_s3003" type="#_x0000_t75" style="height:33.45pt;margin-left:308.95pt;margin-top:-7.5pt;mso-height-relative:page;mso-width-relative:page;mso-wrap-distance-bottom:0;mso-wrap-distance-left:9pt;mso-wrap-distance-right:9pt;mso-wrap-distance-top:0;position:absolute;width:104.35pt;z-index:251662336" coordsize="21600,21600" o:preferrelative="t" filled="f" stroked="f">
          <v:stroke joinstyle="miter"/>
          <v:imagedata r:id="rId2" o:title=""/>
          <o:lock v:ext="edit" aspectratio="t"/>
          <w10:wrap type="square"/>
        </v:shape>
      </w:pict>
    </w:r>
    <w:r>
      <w:rPr>
        <w:rFonts w:ascii="楷体" w:eastAsia="楷体" w:hAnsi="楷体" w:cs="黑体" w:hint="eastAsia"/>
        <w:b/>
        <w:bCs/>
        <w:spacing w:val="-2"/>
        <w:sz w:val="24"/>
        <w:szCs w:val="24"/>
      </w:rPr>
      <w:t xml:space="preserve">理财非存款、产品有风险、投资须谨慎</w:t>
    </w:r>
  </w:p>
</w:hdr>
</file>

<file path=word/header3.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Header"/>
    </w:pPr>
    <w:r>
      <w:rPr/>
      <w:pict>
        <v:shape id="WordPictureWatermark1027" o:spid="WordPictureWatermark3005" type="#_x0000_t75" style="height:862.85pt;margin-left:0;margin-top:0;mso-height-relative:page;mso-position-horizontal:center;mso-position-horizontal-relative:margin;mso-position-vertical:center;mso-position-vertical-relative:margin;mso-width-relative:page;position:absolute;width:1137.35pt;z-index:-251657216" coordsize="21600,21600" o:allowincell="f" o:preferrelative="t" filled="f" stroked="f">
          <v:stroke joinstyle="miter"/>
          <v:imagedata r:id="rId1" o:title="苏银理财" gain="19661f" blacklevel="22938f"/>
          <o:lock v:ext="edit" aspectratio="t"/>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multiLevelType w:val="multilevel"/>
    <w:lvl w:ilvl="0">
      <w:start w:val="1"/>
      <w:numFmt w:val="decimal"/>
      <w:suff w:val="tab"/>
      <w:lvlText w:val="%1."/>
      <w:lvlJc w:val="left"/>
      <w:pPr>
        <w:ind w:left="1080" w:hanging="360"/>
      </w:pPr>
      <w:rPr>
        <w:rFonts w:ascii="Times New Roman" w:eastAsia="Times New Roman" w:hAnsi="Times New Roman" w:cs="Times New Roman"/>
      </w:rPr>
    </w:lvl>
    <w:lvl w:ilvl="1">
      <w:start w:val="1"/>
      <w:numFmt w:val="lowerLetter"/>
      <w:suff w:val="tab"/>
      <w:lvlText w:val="%2."/>
      <w:lvlJc w:val="right"/>
      <w:pPr>
        <w:ind w:left="1800" w:hanging="360"/>
      </w:pPr>
      <w:rPr>
        <w:rFonts w:ascii="Times New Roman" w:eastAsia="Times New Roman" w:hAnsi="Times New Roman" w:cs="Times New Roman"/>
      </w:rPr>
    </w:lvl>
    <w:lvl w:ilvl="2">
      <w:start w:val="1"/>
      <w:numFmt w:val="lowerRoman"/>
      <w:suff w:val="tab"/>
      <w:lvlText w:val="%3."/>
      <w:lvlJc w:val="left"/>
      <w:pPr>
        <w:ind w:left="2520" w:hanging="360"/>
      </w:pPr>
      <w:rPr>
        <w:rFonts w:ascii="Times New Roman" w:eastAsia="Times New Roman" w:hAnsi="Times New Roman" w:cs="Times New Roman"/>
      </w:rPr>
    </w:lvl>
    <w:lvl w:ilvl="3">
      <w:start w:val="1"/>
      <w:numFmt w:val="decimal"/>
      <w:suff w:val="tab"/>
      <w:lvlText w:val="%4."/>
      <w:lvlJc w:val="left"/>
      <w:pPr>
        <w:ind w:left="3240" w:hanging="360"/>
      </w:pPr>
      <w:rPr>
        <w:rFonts w:ascii="Times New Roman" w:eastAsia="Times New Roman" w:hAnsi="Times New Roman" w:cs="Times New Roman"/>
      </w:rPr>
    </w:lvl>
    <w:lvl w:ilvl="4">
      <w:start w:val="1"/>
      <w:numFmt w:val="lowerLetter"/>
      <w:suff w:val="tab"/>
      <w:lvlText w:val="%5."/>
      <w:lvlJc w:val="right"/>
      <w:pPr>
        <w:ind w:left="3960" w:hanging="360"/>
      </w:pPr>
      <w:rPr>
        <w:rFonts w:ascii="Times New Roman" w:eastAsia="Times New Roman" w:hAnsi="Times New Roman" w:cs="Times New Roman"/>
      </w:rPr>
    </w:lvl>
    <w:lvl w:ilvl="5">
      <w:start w:val="1"/>
      <w:numFmt w:val="lowerRoman"/>
      <w:suff w:val="tab"/>
      <w:lvlText w:val="%6."/>
      <w:lvlJc w:val="left"/>
      <w:pPr>
        <w:ind w:left="4680" w:hanging="360"/>
      </w:pPr>
      <w:rPr>
        <w:rFonts w:ascii="Times New Roman" w:eastAsia="Times New Roman" w:hAnsi="Times New Roman" w:cs="Times New Roman"/>
      </w:rPr>
    </w:lvl>
    <w:lvl w:ilvl="6">
      <w:start w:val="1"/>
      <w:numFmt w:val="decimal"/>
      <w:suff w:val="tab"/>
      <w:lvlText w:val="%7."/>
      <w:lvlJc w:val="left"/>
      <w:pPr>
        <w:ind w:left="5400" w:hanging="360"/>
      </w:pPr>
      <w:rPr>
        <w:rFonts w:ascii="Times New Roman" w:eastAsia="Times New Roman" w:hAnsi="Times New Roman" w:cs="Times New Roman"/>
      </w:rPr>
    </w:lvl>
    <w:lvl w:ilvl="7">
      <w:start w:val="1"/>
      <w:numFmt w:val="lowerLetter"/>
      <w:suff w:val="tab"/>
      <w:lvlText w:val="%8."/>
      <w:lvlJc w:val="right"/>
      <w:pPr>
        <w:ind w:left="6120" w:hanging="360"/>
      </w:pPr>
      <w:rPr>
        <w:rFonts w:ascii="Times New Roman" w:eastAsia="Times New Roman" w:hAnsi="Times New Roman" w:cs="Times New Roman"/>
      </w:rPr>
    </w:lvl>
    <w:lvl w:ilvl="8">
      <w:start w:val="1"/>
      <w:numFmt w:val="lowerRoman"/>
      <w:suff w:val="tab"/>
      <w:lvlText w:val="%9."/>
      <w:lvlJc w:val="left"/>
      <w:pPr>
        <w:ind w:left="6840" w:hanging="360"/>
      </w:pPr>
      <w:rPr>
        <w:rFonts w:ascii="Times New Roman" w:eastAsia="Times New Roman" w:hAnsi="Times New Roman" w:cs="Times New Roman"/>
      </w:rPr>
    </w:lvl>
  </w:abstractNum>
  <w:abstractNum w:abstractNumId="1">
    <w:multiLevelType w:val="multilevel"/>
    <w:lvl w:ilvl="0">
      <w:start w:val="1"/>
      <w:numFmt w:val="bullet"/>
      <w:suff w:val="tab"/>
      <w:lvlText w:val=""/>
      <w:lvlJc w:val="left"/>
      <w:pPr>
        <w:ind w:left="1080" w:hanging="360"/>
      </w:pPr>
      <w:rPr>
        <w:rFonts w:ascii="Symbol" w:eastAsia="Symbol" w:hAnsi="Symbol" w:cs="Symbol"/>
      </w:rPr>
    </w:lvl>
    <w:lvl w:ilvl="1">
      <w:start w:val="1"/>
      <w:numFmt w:val="bullet"/>
      <w:suff w:val="tab"/>
      <w:lvlText w:val="o"/>
      <w:lvlJc w:val="left"/>
      <w:pPr>
        <w:ind w:left="1800" w:hanging="360"/>
      </w:pPr>
      <w:rPr>
        <w:rFonts w:ascii="Courier New" w:eastAsia="Courier New" w:hAnsi="Courier New" w:cs="Courier New"/>
      </w:rPr>
    </w:lvl>
    <w:lvl w:ilvl="2">
      <w:start w:val="1"/>
      <w:numFmt w:val="bullet"/>
      <w:suff w:val="tab"/>
      <w:lvlText w:val=""/>
      <w:lvlJc w:val="left"/>
      <w:pPr>
        <w:ind w:left="2520" w:hanging="360"/>
      </w:pPr>
      <w:rPr>
        <w:rFonts w:ascii="Wingdings" w:eastAsia="Wingdings" w:hAnsi="Wingdings" w:cs="Wingdings"/>
      </w:rPr>
    </w:lvl>
    <w:lvl w:ilvl="3">
      <w:start w:val="1"/>
      <w:numFmt w:val="bullet"/>
      <w:suff w:val="tab"/>
      <w:lvlText w:val=""/>
      <w:lvlJc w:val="left"/>
      <w:pPr>
        <w:ind w:left="3240" w:hanging="360"/>
      </w:pPr>
      <w:rPr>
        <w:rFonts w:ascii="Symbol" w:eastAsia="Symbol" w:hAnsi="Symbol" w:cs="Symbol"/>
      </w:rPr>
    </w:lvl>
    <w:lvl w:ilvl="4">
      <w:start w:val="1"/>
      <w:numFmt w:val="bullet"/>
      <w:suff w:val="tab"/>
      <w:lvlText w:val="o"/>
      <w:lvlJc w:val="left"/>
      <w:pPr>
        <w:ind w:left="3960" w:hanging="360"/>
      </w:pPr>
      <w:rPr>
        <w:rFonts w:ascii="Courier New" w:eastAsia="Courier New" w:hAnsi="Courier New" w:cs="Courier New"/>
      </w:rPr>
    </w:lvl>
    <w:lvl w:ilvl="5">
      <w:start w:val="1"/>
      <w:numFmt w:val="bullet"/>
      <w:suff w:val="tab"/>
      <w:lvlText w:val=""/>
      <w:lvlJc w:val="left"/>
      <w:pPr>
        <w:ind w:left="4680" w:hanging="360"/>
      </w:pPr>
      <w:rPr>
        <w:rFonts w:ascii="Wingdings" w:eastAsia="Wingdings" w:hAnsi="Wingdings" w:cs="Wingdings"/>
      </w:rPr>
    </w:lvl>
    <w:lvl w:ilvl="6">
      <w:start w:val="1"/>
      <w:numFmt w:val="bullet"/>
      <w:suff w:val="tab"/>
      <w:lvlText w:val=""/>
      <w:lvlJc w:val="left"/>
      <w:pPr>
        <w:ind w:left="5400" w:hanging="360"/>
      </w:pPr>
      <w:rPr>
        <w:rFonts w:ascii="Symbol" w:eastAsia="Symbol" w:hAnsi="Symbol" w:cs="Symbol"/>
      </w:rPr>
    </w:lvl>
    <w:lvl w:ilvl="7">
      <w:start w:val="1"/>
      <w:numFmt w:val="bullet"/>
      <w:suff w:val="tab"/>
      <w:lvlText w:val="o"/>
      <w:lvlJc w:val="left"/>
      <w:pPr>
        <w:ind w:left="6120" w:hanging="360"/>
      </w:pPr>
      <w:rPr>
        <w:rFonts w:ascii="Courier New" w:eastAsia="Courier New" w:hAnsi="Courier New" w:cs="Courier New"/>
      </w:rPr>
    </w:lvl>
    <w:lvl w:ilvl="8">
      <w:start w:val="1"/>
      <w:numFmt w:val="bullet"/>
      <w:suff w:val="tab"/>
      <w:lvlText w:val=""/>
      <w:lvlJc w:val="left"/>
      <w:pPr>
        <w:ind w:left="6840" w:hanging="360"/>
      </w:pPr>
      <w:rPr>
        <w:rFonts w:ascii="Wingdings" w:eastAsia="Wingdings" w:hAnsi="Wingdings" w:cs="Wingdings"/>
      </w:rPr>
    </w:lvl>
  </w:abstractNum>
  <w:abstractNum w:abstractNumId="2">
    <w:multiLevelType w:val="singleLevel"/>
    <w:lvl w:ilvl="0">
      <w:start w:val="3"/>
      <w:numFmt w:val="chineseCounting"/>
      <w:suff w:val="nothing"/>
      <w:lvlText w:val="（%1）"/>
      <w:lvlJc w:val="left"/>
      <w:rPr>
        <w:rFonts w:hint="eastAsia"/>
      </w:rPr>
    </w:lvl>
  </w:abstractNum>
  <w:abstractNum w:abstractNumId="3">
    <w:multiLevelType w:val="singleLevel"/>
    <w:lvl w:ilvl="0">
      <w:start w:val="3"/>
      <w:numFmt w:val="decimal"/>
      <w:suff w:val="nothing"/>
      <w:lvlText w:val="%1）"/>
      <w:lvlJc w:val="left"/>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14="http://schemas.microsoft.com/office/word/2010/wordml" xmlns:sl="http://schemas.openxmlformats.org/schemaLibrary/2006/main" xmlns:w="http://schemas.openxmlformats.org/wordprocessingml/2006/main" mc:Ignorable="w14">
  <w:zoom w:percent="100"/>
  <w:bordersDoNotSurroundFooter/>
  <w:bordersDoNotSurroundHeader/>
  <w:doNotTrackMove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Setting w:name="compatibilityMode" w:uri="http://schemas.microsoft.com/office/word" w:val="12"/>
  </w:compat>
  <w:docVars>
    <w:docVar w:name="commondata" w:val="eyJoZGlkIjoiM2Q0YzJjZmYwZmM4YTNhMDViNTkyMTNhM2QwMmM4NjgifQ=="/>
  </w:docVars>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semiHidden="0" w:uiPriority="1"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note text" w:uiPriority="0"/>
    <w:lsdException w:name="annotation text" w:semiHidden="0" w:qFormat="1"/>
    <w:lsdException w:name="header" w:semiHidden="0" w:qFormat="1"/>
    <w:lsdException w:name="footer" w:semiHidden="0" w:qFormat="1"/>
    <w:lsdException w:name="index heading" w:uiPriority="0"/>
    <w:lsdException w:name="caption" w:uiPriority="35" w:qFormat="1"/>
    <w:lsdException w:name="table of figures" w:uiPriority="0"/>
    <w:lsdException w:name="envelope address" w:uiPriority="0"/>
    <w:lsdException w:name="envelope return" w:uiPriority="0"/>
    <w:lsdException w:name="footnote reference" w:uiPriority="0"/>
    <w:lsdException w:name="annotation reference" w:semiHidden="0" w:qFormat="1"/>
    <w:lsdException w:name="line number" w:uiPriority="0"/>
    <w:lsdException w:name="page number" w:uiPriority="0"/>
    <w:lsdException w:name="endnote reference" w:uiPriority="0"/>
    <w:lsdException w:name="endnote text" w:uiPriority="0"/>
    <w:lsdException w:name="table of authorities" w:uiPriority="0"/>
    <w:lsdException w:name="macro" w:uiPriority="0"/>
    <w:lsdException w:name="toa heading" w:uiPriority="0"/>
    <w:lsdException w:name="List" w:uiPriority="0"/>
    <w:lsdException w:name="List Bullet" w:uiPriority="0"/>
    <w:lsdException w:name="List Number" w:uiPriority="0"/>
    <w:lsdException w:name="List 2" w:uiPriority="0"/>
    <w:lsdException w:name="List 3" w:uiPriority="0"/>
    <w:lsdException w:name="List 4" w:uiPriority="0"/>
    <w:lsdException w:name="List 5" w:uiPriority="0"/>
    <w:lsdException w:name="List Bullet 2" w:uiPriority="0"/>
    <w:lsdException w:name="List Bullet 3" w:uiPriority="0"/>
    <w:lsdException w:name="List Bullet 4" w:uiPriority="0"/>
    <w:lsdException w:name="List Bullet 5" w:uiPriority="0"/>
    <w:lsdException w:name="List Number 2" w:uiPriority="0"/>
    <w:lsdException w:name="List Number 3" w:uiPriority="0"/>
    <w:lsdException w:name="List Number 4" w:uiPriority="0"/>
    <w:lsdException w:name="List Number 5" w:uiPriority="0"/>
    <w:lsdException w:name="Title" w:semiHidden="0" w:uiPriority="10" w:unhideWhenUsed="0" w:qFormat="1"/>
    <w:lsdException w:name="Closing" w:uiPriority="0"/>
    <w:lsdException w:name="Signature" w:uiPriority="0"/>
    <w:lsdException w:name="Default Paragraph Font" w:uiPriority="1" w:qFormat="1"/>
    <w:lsdException w:name="Body Text" w:semiHidden="0" w:uiPriority="1" w:unhideWhenUsed="0" w:qFormat="1"/>
    <w:lsdException w:name="Body Text Indent" w:uiPriority="0"/>
    <w:lsdException w:name="List Continue" w:uiPriority="0"/>
    <w:lsdException w:name="List Continue 2" w:uiPriority="0"/>
    <w:lsdException w:name="List Continue 3" w:uiPriority="0"/>
    <w:lsdException w:name="List Continue 4" w:uiPriority="0"/>
    <w:lsdException w:name="List Continue 5" w:uiPriority="0"/>
    <w:lsdException w:name="Message Header" w:uiPriority="0"/>
    <w:lsdException w:name="Subtitle" w:semiHidden="0" w:uiPriority="11" w:unhideWhenUsed="0" w:qFormat="1"/>
    <w:lsdException w:name="Salutation" w:uiPriority="0"/>
    <w:lsdException w:name="Date" w:uiPriority="0"/>
    <w:lsdException w:name="Body Text First Indent" w:uiPriority="0"/>
    <w:lsdException w:name="Body Text First Indent 2" w:uiPriority="0"/>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E-mail Signature" w:uiPriority="0"/>
    <w:lsdException w:name="Normal (Web)" w:semiHidden="0" w:qFormat="1"/>
    <w:lsdException w:name="HTML Acronym" w:uiPriority="0"/>
    <w:lsdException w:name="HTML Address" w:uiPriority="0"/>
    <w:lsdException w:name="HTML Cite" w:uiPriority="0"/>
    <w:lsdException w:name="HTML Code" w:uiPriority="0"/>
    <w:lsdException w:name="HTML Definition" w:uiPriority="0"/>
    <w:lsdException w:name="HTML Keyboard" w:uiPriority="0"/>
    <w:lsdException w:name="HTML Preformatted" w:uiPriority="0"/>
    <w:lsdException w:name="HTML Sample" w:uiPriority="0"/>
    <w:lsdException w:name="HTML Variable" w:uiPriority="0"/>
    <w:lsdException w:name="Normal Table" w:qFormat="1"/>
    <w:lsdException w:name="annotation subject" w:uiPriority="0"/>
    <w:lsdException w:name="Table Simple 1" w:uiPriority="0"/>
    <w:lsdException w:name="Table Simple 2" w:uiPriority="0"/>
    <w:lsdException w:name="Table Simple 3" w:uiPriority="0"/>
    <w:lsdException w:name="Table Classic 1" w:uiPriority="0"/>
    <w:lsdException w:name="Table Classic 2" w:uiPriority="0"/>
    <w:lsdException w:name="Table Classic 3" w:uiPriority="0"/>
    <w:lsdException w:name="Table Classic 4" w:uiPriority="0"/>
    <w:lsdException w:name="Table Colorful 1" w:uiPriority="0"/>
    <w:lsdException w:name="Table Colorful 2" w:uiPriority="0"/>
    <w:lsdException w:name="Table Colorful 3" w:uiPriority="0"/>
    <w:lsdException w:name="Table Columns 1" w:uiPriority="0"/>
    <w:lsdException w:name="Table Columns 2" w:uiPriority="0"/>
    <w:lsdException w:name="Table Columns 3" w:uiPriority="0"/>
    <w:lsdException w:name="Table Columns 4" w:uiPriority="0"/>
    <w:lsdException w:name="Table Columns 5" w:uiPriority="0"/>
    <w:lsdException w:name="Table Grid 1" w:uiPriority="0"/>
    <w:lsdException w:name="Table Grid 2" w:uiPriority="0"/>
    <w:lsdException w:name="Table Grid 3" w:uiPriority="0"/>
    <w:lsdException w:name="Table Grid 4" w:uiPriority="0"/>
    <w:lsdException w:name="Table Grid 5" w:uiPriority="0"/>
    <w:lsdException w:name="Table Grid 6" w:uiPriority="0"/>
    <w:lsdException w:name="Table Grid 7" w:uiPriority="0"/>
    <w:lsdException w:name="Table Grid 8" w:uiPriority="0"/>
    <w:lsdException w:name="Table List 1" w:uiPriority="0"/>
    <w:lsdException w:name="Table List 2" w:uiPriority="0"/>
    <w:lsdException w:name="Table List 3" w:uiPriority="0"/>
    <w:lsdException w:name="Table List 4" w:uiPriority="0"/>
    <w:lsdException w:name="Table List 5" w:uiPriority="0"/>
    <w:lsdException w:name="Table List 6" w:uiPriority="0"/>
    <w:lsdException w:name="Table List 7" w:uiPriority="0"/>
    <w:lsdException w:name="Table List 8" w:uiPriority="0"/>
    <w:lsdException w:name="Table 3D effects 1" w:uiPriority="0"/>
    <w:lsdException w:name="Table 3D effects 2" w:uiPriority="0"/>
    <w:lsdException w:name="Table 3D effects 3" w:uiPriority="0"/>
    <w:lsdException w:name="Table Contemporary" w:uiPriority="0"/>
    <w:lsdException w:name="Table Elegant" w:uiPriority="0"/>
    <w:lsdException w:name="Table Professional" w:uiPriority="0"/>
    <w:lsdException w:name="Table Subtle 1" w:uiPriority="0"/>
    <w:lsdException w:name="Table Subtle 2" w:uiPriority="0"/>
    <w:lsdException w:name="Table Web 1" w:uiPriority="0"/>
    <w:lsdException w:name="Table Web 2" w:uiPriority="0"/>
    <w:lsdException w:name="Table Web 3" w:uiPriority="0"/>
    <w:lsdException w:name="Balloon Text" w:semiHidden="0" w:qFormat="1"/>
    <w:lsdException w:name="Table Grid" w:semiHidden="0" w:uiPriority="39" w:unhideWhenUsed="0" w:qFormat="1"/>
    <w:lsdException w:name="Table Theme" w:uiPriority="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宋体" w:eastAsia="宋体" w:hAnsi="宋体" w:cs="宋体"/>
      <w:kern w:val="2"/>
      <w:sz w:val="28"/>
      <w:szCs w:val="22"/>
      <w:lang w:val="en-US" w:eastAsia="zh-CN" w:bidi="ar-SA"/>
    </w:rPr>
  </w:style>
  <w:style w:type="paragraph" w:styleId="Heading3">
    <w:name w:val="Heading 3"/>
    <w:basedOn w:val="Normal"/>
    <w:next w:val="Normal"/>
    <w:uiPriority w:val="1"/>
    <w:qFormat/>
    <w:pPr>
      <w:autoSpaceDE w:val="0"/>
      <w:autoSpaceDN w:val="0"/>
      <w:adjustRightInd w:val="0"/>
      <w:spacing w:before="34"/>
      <w:ind w:left="120"/>
      <w:jc w:val="left"/>
      <w:outlineLvl w:val="2"/>
    </w:pPr>
    <w:rPr>
      <w:rFonts w:ascii="宋体" w:eastAsia="楷体" w:hAnsi="Times New Roman"/>
      <w:b/>
      <w:bCs/>
      <w:kern w:val="0"/>
      <w:sz w:val="24"/>
      <w:szCs w:val="21"/>
    </w:rPr>
  </w:style>
  <w:style w:type="character" w:default="1" w:styleId="DefaultParagraphFont">
    <w:name w:val="Default Paragraph Font"/>
    <w:uiPriority w:val="1"/>
    <w:semiHidden/>
    <w:unhideWhenUsed/>
    <w:qFormat/>
    <w:rPr/>
  </w:style>
  <w:style w:type="table" w:default="1" w:styleId="TableNormal">
    <w:name w:val="Normal Table"/>
    <w:uiPriority w:val="99"/>
    <w:semiHidden/>
    <w:unhideWhenUsed/>
    <w:qFormat/>
    <w:rPr/>
    <w:tblPr>
      <w:tblCellMar>
        <w:top w:w="0" w:type="dxa"/>
        <w:left w:w="108" w:type="dxa"/>
        <w:bottom w:w="0" w:type="dxa"/>
        <w:right w:w="108" w:type="dxa"/>
      </w:tblCellMar>
    </w:tblPr>
  </w:style>
  <w:style w:type="paragraph" w:styleId="annotationtext">
    <w:name w:val="annotation text"/>
    <w:basedOn w:val="Normal"/>
    <w:uiPriority w:val="99"/>
    <w:unhideWhenUsed/>
    <w:qFormat/>
    <w:pPr>
      <w:jc w:val="left"/>
    </w:pPr>
    <w:rPr/>
  </w:style>
  <w:style w:type="paragraph" w:styleId="BodyText">
    <w:name w:val="Body Text"/>
    <w:basedOn w:val="Normal"/>
    <w:uiPriority w:val="1"/>
    <w:qFormat/>
    <w:pPr>
      <w:autoSpaceDE w:val="0"/>
      <w:autoSpaceDN w:val="0"/>
      <w:adjustRightInd w:val="0"/>
      <w:spacing w:before="162"/>
      <w:ind w:left="120"/>
      <w:jc w:val="left"/>
    </w:pPr>
    <w:rPr>
      <w:rFonts w:ascii="宋体" w:eastAsia="宋体" w:hAnsi="Times New Roman" w:cs="宋体"/>
      <w:kern w:val="0"/>
      <w:sz w:val="20"/>
      <w:szCs w:val="21"/>
    </w:rPr>
  </w:style>
  <w:style w:type="paragraph" w:styleId="BalloonText">
    <w:name w:val="Balloon Text"/>
    <w:basedOn w:val="Normal"/>
    <w:uiPriority w:val="99"/>
    <w:unhideWhenUsed/>
    <w:qFormat/>
    <w:rPr>
      <w:sz w:val="18"/>
      <w:szCs w:val="18"/>
    </w:rPr>
  </w:style>
  <w:style w:type="paragraph" w:styleId="Footer">
    <w:name w:val="Footer"/>
    <w:basedOn w:val="Normal"/>
    <w:uiPriority w:val="99"/>
    <w:unhideWhenUsed/>
    <w:qFormat/>
    <w:pPr>
      <w:tabs>
        <w:tab w:val="center" w:pos="4153"/>
        <w:tab w:val="right" w:pos="8306"/>
      </w:tabs>
      <w:snapToGrid w:val="0"/>
      <w:jc w:val="left"/>
    </w:pPr>
    <w:rPr>
      <w:sz w:val="18"/>
      <w:szCs w:val="18"/>
    </w:rPr>
  </w:style>
  <w:style w:type="paragraph" w:styleId="Header">
    <w:name w:val="Header"/>
    <w:basedOn w:val="Normal"/>
    <w:uiPriority w:val="99"/>
    <w:unhideWhenUsed/>
    <w:qFormat/>
    <w:pPr>
      <w:pBdr>
        <w:bottom w:val="single" w:sz="6" w:space="1" w:color="auto"/>
      </w:pBdr>
      <w:tabs>
        <w:tab w:val="center" w:pos="4153"/>
        <w:tab w:val="right" w:pos="8306"/>
      </w:tabs>
      <w:snapToGrid w:val="0"/>
      <w:jc w:val="center"/>
    </w:pPr>
    <w:rPr>
      <w:sz w:val="18"/>
      <w:szCs w:val="18"/>
    </w:rPr>
  </w:style>
  <w:style w:type="paragraph" w:styleId="Normal(Web)">
    <w:name w:val="Normal (Web)"/>
    <w:basedOn w:val="Normal"/>
    <w:uiPriority w:val="99"/>
    <w:unhideWhenUsed/>
    <w:qFormat/>
    <w:pPr>
      <w:widowControl/>
      <w:spacing w:before="100" w:beforeAutospacing="1" w:after="100" w:afterAutospacing="1"/>
      <w:jc w:val="left"/>
    </w:pPr>
    <w:rPr>
      <w:rFonts w:ascii="宋体" w:eastAsia="宋体" w:hAnsi="宋体" w:cs="宋体"/>
      <w:kern w:val="0"/>
      <w:sz w:val="24"/>
      <w:szCs w:val="24"/>
    </w:rPr>
  </w:style>
  <w:style w:type="table" w:styleId="TableGrid">
    <w:name w:val="Table Grid"/>
    <w:basedOn w:val="TableNormal"/>
    <w:uiPriority w:val="39"/>
    <w:qForma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nnotationreference">
    <w:name w:val="annotation reference"/>
    <w:uiPriority w:val="99"/>
    <w:unhideWhenUsed/>
    <w:qFormat/>
    <w:rPr>
      <w:sz w:val="21"/>
      <w:szCs w:val="21"/>
    </w:rPr>
  </w:style>
  <w:style w:type="paragraph" w:customStyle="1" w:styleId="无间隔1">
    <w:name w:val="无间隔1"/>
    <w:uiPriority w:val="1"/>
    <w:qFormat/>
    <w:pPr>
      <w:widowControl w:val="0"/>
      <w:jc w:val="both"/>
    </w:pPr>
    <w:rPr>
      <w:rFonts w:ascii="等线" w:eastAsia="等线" w:hAnsi="等线" w:cs="Times New Roman"/>
      <w:kern w:val="2"/>
      <w:sz w:val="21"/>
      <w:szCs w:val="22"/>
      <w:lang w:val="en-US" w:eastAsia="zh-CN" w:bidi="ar-SA"/>
    </w:rPr>
  </w:style>
  <w:style w:type="paragraph" w:customStyle="1" w:styleId="标题4">
    <w:name w:val="标题4"/>
    <w:basedOn w:val="Normal"/>
    <w:qFormat/>
    <w:rPr>
      <w:rFonts w:eastAsia="楷体"/>
    </w:rPr>
  </w:style>
  <w:style w:type="character" w:customStyle="1" w:styleId="页眉字符">
    <w:name w:val="页眉 字符"/>
    <w:link w:val="批注框文本字符"/>
    <w:uiPriority w:val="99"/>
    <w:qFormat/>
    <w:rPr>
      <w:sz w:val="18"/>
      <w:szCs w:val="18"/>
    </w:rPr>
  </w:style>
  <w:style w:type="character" w:customStyle="1" w:styleId="页脚字符">
    <w:name w:val="页脚 字符"/>
    <w:link w:val="标题3字符"/>
    <w:uiPriority w:val="99"/>
    <w:qFormat/>
    <w:rPr>
      <w:sz w:val="18"/>
      <w:szCs w:val="18"/>
    </w:rPr>
  </w:style>
  <w:style w:type="character" w:customStyle="1" w:styleId="正文文本字符1">
    <w:name w:val="正文文本 字符1"/>
    <w:uiPriority w:val="1"/>
    <w:qFormat/>
    <w:rPr>
      <w:rFonts w:ascii="宋体" w:eastAsia="宋体" w:hAnsi="Times New Roman" w:cs="宋体"/>
      <w:szCs w:val="21"/>
    </w:rPr>
  </w:style>
  <w:style w:type="character" w:customStyle="1" w:styleId="正文文本字符">
    <w:name w:val="正文文本 字符"/>
    <w:uiPriority w:val="99"/>
    <w:semiHidden/>
    <w:qFormat/>
    <w:rPr>
      <w:kern w:val="2"/>
      <w:sz w:val="21"/>
      <w:szCs w:val="22"/>
    </w:rPr>
  </w:style>
  <w:style w:type="character" w:customStyle="1" w:styleId="批注文字字符1">
    <w:name w:val="批注文字 字符1"/>
    <w:uiPriority w:val="99"/>
    <w:qFormat/>
    <w:rPr>
      <w:kern w:val="2"/>
      <w:sz w:val="21"/>
      <w:szCs w:val="22"/>
    </w:rPr>
  </w:style>
  <w:style w:type="character" w:customStyle="1" w:styleId="批注文字字符">
    <w:name w:val="批注文字 字符"/>
    <w:uiPriority w:val="99"/>
    <w:semiHidden/>
    <w:qFormat/>
    <w:rPr>
      <w:kern w:val="2"/>
      <w:sz w:val="21"/>
      <w:szCs w:val="22"/>
    </w:rPr>
  </w:style>
  <w:style w:type="character" w:customStyle="1" w:styleId="批注框文本字符">
    <w:name w:val="批注框文本 字符"/>
    <w:uiPriority w:val="99"/>
    <w:semiHidden/>
    <w:qFormat/>
    <w:rPr>
      <w:kern w:val="2"/>
      <w:sz w:val="18"/>
      <w:szCs w:val="18"/>
    </w:rPr>
  </w:style>
  <w:style w:type="character" w:customStyle="1" w:styleId="标题3字符">
    <w:name w:val="标题 3 字符"/>
    <w:uiPriority w:val="9"/>
    <w:semiHidden/>
    <w:qFormat/>
    <w:rPr>
      <w:b/>
      <w:bCs/>
      <w:kern w:val="2"/>
      <w:sz w:val="32"/>
      <w:szCs w:val="32"/>
    </w:rPr>
  </w:style>
  <w:style w:type="character" w:customStyle="1" w:styleId="标题3字符1">
    <w:name w:val="标题 3 字符1"/>
    <w:link w:val="Heading3"/>
    <w:uiPriority w:val="1"/>
    <w:qFormat/>
    <w:rPr>
      <w:rFonts w:ascii="宋体" w:eastAsia="楷体" w:hAnsi="Times New Roman"/>
      <w:b/>
      <w:bCs/>
      <w:sz w:val="24"/>
      <w:szCs w:val="21"/>
    </w:rPr>
  </w:style>
  <w:style w:type="character" w:customStyle="1" w:styleId="标题4字符">
    <w:name w:val="标题4 字符"/>
    <w:qFormat/>
    <w:rPr>
      <w:rFonts w:eastAsia="楷体"/>
      <w:kern w:val="2"/>
      <w:sz w:val="21"/>
      <w:szCs w:val="22"/>
    </w:rPr>
  </w:style>
  <w:style w:type="paragraph" w:customStyle="1" w:styleId="TableText">
    <w:name w:val="Table Text"/>
    <w:basedOn w:val="Normal"/>
    <w:semiHidden/>
    <w:qFormat/>
    <w:rPr>
      <w:rFonts w:ascii="楷体" w:eastAsia="楷体" w:hAnsi="楷体" w:cs="楷体"/>
      <w:sz w:val="22"/>
    </w:rPr>
  </w:style>
  <w:style w:type="table" w:customStyle="1" w:styleId="TableNormal0">
    <w:name w:val="Table Normal"/>
    <w:semiHidden/>
    <w:unhideWhenUsed/>
    <w:qFormat/>
    <w:rPr/>
    <w:tblPr>
      <w:tblCellMar>
        <w:top w:w="0" w:type="dxa"/>
        <w:left w:w="0" w:type="dxa"/>
        <w:bottom w:w="0" w:type="dxa"/>
        <w:right w:w="0"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&#65279;<?xml version="1.0" encoding="utf-8"?><Relationships xmlns="http://schemas.openxmlformats.org/package/2006/relationships"><Relationship Id="rId1" Type="http://schemas.openxmlformats.org/officeDocument/2006/relationships/customXml" Target="../customXml/item1.xml" /><Relationship Id="rId10" Type="http://schemas.openxmlformats.org/officeDocument/2006/relationships/styles" Target="styles.xml" /><Relationship Id="rId11" Type="http://schemas.openxmlformats.org/officeDocument/2006/relationships/webSettings" Target="webSettings.xml" /><Relationship Id="rId12" Type="http://schemas.openxmlformats.org/officeDocument/2006/relationships/numbering" Target="numbering.xml" /><Relationship Id="rId13" Type="http://schemas.openxmlformats.org/officeDocument/2006/relationships/fontTable" Target="fontTable.xml" /><Relationship Id="rId14" Type="http://schemas.openxmlformats.org/officeDocument/2006/relationships/settings" Target="settings.xml" /><Relationship Id="rId2" Type="http://schemas.openxmlformats.org/officeDocument/2006/relationships/customXml" Target="../customXml/item2.xml" /><Relationship Id="rId3" Type="http://schemas.openxmlformats.org/officeDocument/2006/relationships/customXml" Target="../customXml/item3.xml" /><Relationship Id="rId4" Type="http://schemas.openxmlformats.org/officeDocument/2006/relationships/customXml" Target="../customXml/item4.xml" /><Relationship Id="rId5" Type="http://schemas.openxmlformats.org/officeDocument/2006/relationships/header" Target="header1.xml" /><Relationship Id="rId6" Type="http://schemas.openxmlformats.org/officeDocument/2006/relationships/header" Target="header2.xml" /><Relationship Id="rId7" Type="http://schemas.openxmlformats.org/officeDocument/2006/relationships/header" Target="header3.xml" /><Relationship Id="rId8" Type="http://schemas.openxmlformats.org/officeDocument/2006/relationships/footer" Target="footer1.xml" /><Relationship Id="rId9" Type="http://schemas.openxmlformats.org/officeDocument/2006/relationships/theme" Target="theme/theme1.xml" /></Relationships>
</file>

<file path=word/_rels/header1.xml.rels>&#65279;<?xml version="1.0" encoding="utf-8"?><Relationships xmlns="http://schemas.openxmlformats.org/package/2006/relationships"><Relationship Id="rId1" Type="http://schemas.openxmlformats.org/officeDocument/2006/relationships/image" Target="media/image1.png" /></Relationships>
</file>

<file path=word/_rels/header2.xml.rels>&#65279;<?xml version="1.0" encoding="utf-8"?><Relationships xmlns="http://schemas.openxmlformats.org/package/2006/relationships"><Relationship Id="rId1" Type="http://schemas.openxmlformats.org/officeDocument/2006/relationships/image" Target="media/image1.png" /><Relationship Id="rId2" Type="http://schemas.openxmlformats.org/officeDocument/2006/relationships/image" Target="media/image2.png" /></Relationships>
</file>

<file path=word/_rels/header3.xml.rels>&#65279;<?xml version="1.0" encoding="utf-8"?><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Relationships xmlns="http://schemas.openxmlformats.org/package/2006/relationships"><Relationship Id="rId1" Type="http://schemas.openxmlformats.org/officeDocument/2006/relationships/customXmlProps" Target="itemProps1.xml" /></Relationships>
</file>

<file path=customXml/_rels/item2.xml.rels>&#65279;<?xml version="1.0" encoding="utf-8"?><Relationships xmlns="http://schemas.openxmlformats.org/package/2006/relationships"><Relationship Id="rId1" Type="http://schemas.openxmlformats.org/officeDocument/2006/relationships/customXmlProps" Target="itemProps2.xml" /></Relationships>
</file>

<file path=customXml/_rels/item3.xml.rels>&#65279;<?xml version="1.0" encoding="utf-8"?><Relationships xmlns="http://schemas.openxmlformats.org/package/2006/relationships"><Relationship Id="rId1" Type="http://schemas.openxmlformats.org/officeDocument/2006/relationships/customXmlProps" Target="itemProps3.xml" /></Relationships>
</file>

<file path=customXml/_rels/item4.xml.rels>&#65279;<?xml version="1.0" encoding="utf-8"?><Relationships xmlns="http://schemas.openxmlformats.org/package/2006/relationships"><Relationship Id="rId1" Type="http://schemas.openxmlformats.org/officeDocument/2006/relationships/customXmlProps" Target="itemProps4.xml" /></Relationships>
</file>

<file path=customXml/item1.xml><?xml version="1.0" encoding="utf-8"?>
<cp:coreProperties xmlns:cp="http://schemas.openxmlformats.org/package/2006/metadata/core-properties" xmlns:dc="http://purl.org/dc/elements/1.1/" xmlns:dcterms="http://purl.org/dc/terms/" xmlns:xsi="http://www.w3.org/2001/XMLSchema-instance">
  <dcterms:created xsi:type="dcterms:W3CDTF">2021-11-18T10:04:00Z</dcterms:created>
  <dc:creator>User</dc:creator>
  <cp:lastModifiedBy>jsyh</cp:lastModifiedBy>
  <dcterms:modified xsi:type="dcterms:W3CDTF">2025-08-22T09:29:50Z</dcterms:modified>
  <cp:revision>22</cp:revision>
  <dc:title>“${prdInfo.PRD_NAME}”理财产品</dc:title>
</cp:coreProperties>
</file>

<file path=customXml/item2.xml><?xml version="1.0" encoding="utf-8"?>
<Properties xmlns="http://schemas.openxmlformats.org/officeDocument/2006/extended-properties" xmlns:vt="http://schemas.openxmlformats.org/officeDocument/2006/docPropsVTypes">
  <Template>Normal.dotm</Template>
  <Company>WORKGROUP</Company>
  <Pages>4</Pages>
  <Words>419</Words>
  <Characters>2389</Characters>
  <Lines>19</Lines>
  <Paragraphs>5</Paragraphs>
  <TotalTime>4</TotalTime>
  <ScaleCrop>false</ScaleCrop>
  <LinksUpToDate>false</LinksUpToDate>
  <CharactersWithSpaces>2803</CharactersWithSpaces>
  <Application>WPS Office_11.8.2.10321_F1E327BC-269C-435d-A152-05C5408002CA</Application>
  <DocSecurity>0</DocSecurity>
</Properties>
</file>

<file path=customXml/item3.xml><?xml version="1.0" encoding="utf-8"?>
<Properties xmlns="http://schemas.openxmlformats.org/officeDocument/2006/custom-properties" xmlns:vt="http://schemas.openxmlformats.org/officeDocument/2006/docPropsVTypes">
  <property fmtid="{D5CDD505-2E9C-101B-9397-08002B2CF9AE}" pid="2" name="KSOProductBuildVer">
    <vt:lpwstr>2052-11.8.2.10321</vt:lpwstr>
  </property>
  <property fmtid="{D5CDD505-2E9C-101B-9397-08002B2CF9AE}" pid="3" name="ICV">
    <vt:lpwstr>31802637FF8E4298AD1DCE61A946E12D</vt:lpwstr>
  </property>
</Properties>
</file>

<file path=customXml/item4.xml><?xml version="1.0" encoding="utf-8"?>
<s:customData xmlns="http://www.wps.cn/officeDocument/2013/wpsCustomData" xmlns:s="http://www.wps.cn/officeDocument/2013/wpsCustomData">
  <customSectProps>
    <customSectPr/>
  </customSectProps>
  <customShpExts>
    <customShpInfo spid="_x0000_s3074"/>
    <customShpInfo spid="_x0000_s3075"/>
    <customShpInfo spid="_x0000_s3076"/>
    <customShpInfo spid="_x0000_s3073"/>
  </customShpExts>
</s:customData>
</file>

<file path=customXml/itemProps1.xml><?xml version="1.0" encoding="utf-8"?>
<ds:datastoreItem xmlns:ds="http://schemas.openxmlformats.org/officeDocument/2006/customXml" ds:itemID="">
  <ds:schemaRefs/>
</ds:datastoreItem>
</file>

<file path=customXml/itemProps2.xml><?xml version="1.0" encoding="utf-8"?>
<ds:datastoreItem xmlns:ds="http://schemas.openxmlformats.org/officeDocument/2006/customXml" ds:itemID="">
  <ds:schemaRefs/>
</ds:datastoreItem>
</file>

<file path=customXml/itemProps3.xml><?xml version="1.0" encoding="utf-8"?>
<ds:datastoreItem xmlns:ds="http://schemas.openxmlformats.org/officeDocument/2006/customXml" ds:itemID="">
  <ds:schemaRefs/>
</ds:datastoreItem>
</file>

<file path=customXml/itemProps4.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vt="http://schemas.openxmlformats.org/officeDocument/2006/docPropsVTypes" xmlns="http://schemas.openxmlformats.org/officeDocument/2006/extended-properties">
  <Template>Normal.dotm</Template>
  <TotalTime>4</TotalTime>
  <Pages>4</Pages>
  <Words>419</Words>
  <Characters>2389</Characters>
  <Application>WPS Office_11.8.2.10321_F1E327BC-269C-435d-A152-05C5408002CA</Application>
  <DocSecurity>0</DocSecurity>
  <Lines>19</Lines>
  <Paragraphs>5</Paragraphs>
  <Company>WORKGROUP</Company>
  <CharactersWithSpaces>2803</CharactersWithSpaces>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_x201C__x0024__x007B_prdInfo.PRD_NAME_x007D__x201D_理财产品</dc:title>
  <dc:creator>User</dc:creator>
  <cp:lastModifiedBy>jsyh</cp:lastModifiedBy>
  <cp:revision>22</cp:revision>
  <dcterms:created xsi:type="dcterms:W3CDTF">2021-11-18T10:04:00Z</dcterms:created>
  <dcterms:modified xsi:type="dcterms:W3CDTF">2025-08-22T10:17:40Z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str>2052-11.8.2.10321</vt:lpstr>
  </property>
  <property fmtid="{D5CDD505-2E9C-101B-9397-08002B2CF9AE}" pid="3" name="ICV">
    <vt:lpstr>31802637FF8E4298AD1DCE61A946E12D</vt:lpstr>
  </property>
</Properties>
</file>