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苏银理财恒源季开放10号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2025年半年度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苏银理财恒源季开放10号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2023年11月07日</w:t>
      </w:r>
      <w:r>
        <w:rPr>
          <w:rFonts w:ascii="楷体" w:eastAsia="楷体" w:hAnsi="楷体" w:cs="楷体" w:hint="eastAsia"/>
        </w:rPr>
        <w:t xml:space="preserve">成立，于</w:t>
      </w:r>
      <w:r>
        <w:rPr>
          <w:rFonts w:ascii="楷体" w:eastAsia="楷体" w:hAnsi="楷体" w:cs="楷体" w:hint="eastAsia"/>
          <w:spacing w:val="-7"/>
        </w:rPr>
        <w:t xml:space="preserve">2023年11月07日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产品名称</w:t>
            </w:r>
          </w:p>
        </w:tc>
        <w:tc>
          <w:tcPr>
            <w:tcW w:w="3847" w:type="dxa"/>
          </w:tcPr>
          <w:p>
            <w:pPr>
              <w:pStyle w:val="TableText"/>
              <w:spacing w:before="56" w:line="202" w:lineRule="auto"/>
              <w:jc w:val="center"/>
              <w:rPr>
                <w:rFonts w:ascii="楷体" w:eastAsia="楷体" w:hAnsi="楷体" w:cs="楷体" w:hint="eastAsia"/>
                <w:sz w:val="24"/>
                <w:szCs w:val="24"/>
                <w:highlight w:val="yellow"/>
              </w:rPr>
            </w:pPr>
            <w:r>
              <w:rPr>
                <w:rFonts w:ascii="楷体" w:eastAsia="楷体" w:hAnsi="楷体" w:cs="楷体" w:hint="eastAsia"/>
                <w:spacing w:val="-6"/>
                <w:sz w:val="24"/>
                <w:szCs w:val="24"/>
              </w:rPr>
              <w:t xml:space="preserve">苏银理财恒源季开放10号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Z7003123000155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产品运作方式</w:t>
            </w:r>
          </w:p>
        </w:tc>
        <w:tc>
          <w:tcPr>
            <w:tcW w:w="3847" w:type="dxa"/>
          </w:tcPr>
          <w:p>
            <w:pPr>
              <w:pStyle w:val="TableText"/>
              <w:spacing w:before="52" w:line="201" w:lineRule="auto"/>
              <w:jc w:val="center"/>
              <w:rPr>
                <w:rFonts w:ascii="楷体" w:eastAsia="楷体" w:hAnsi="楷体" w:cs="楷体" w:hint="eastAsia"/>
                <w:sz w:val="24"/>
                <w:szCs w:val="24"/>
                <w:highlight w:val="yellow"/>
              </w:rPr>
            </w:pPr>
            <w:r>
              <w:rPr>
                <w:rFonts w:ascii="楷体" w:eastAsia="楷体" w:hAnsi="楷体" w:cs="楷体" w:hint="eastAsia"/>
                <w:spacing w:val="-2"/>
                <w:sz w:val="24"/>
                <w:szCs w:val="24"/>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366,898,375.33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产品资产净值（元）</w:t>
            </w:r>
          </w:p>
        </w:tc>
        <w:tc>
          <w:tcPr>
            <w:tcW w:w="3847" w:type="dxa"/>
          </w:tcPr>
          <w:p>
            <w:pPr>
              <w:pStyle w:val="TableText"/>
              <w:spacing w:before="78" w:line="182"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384,683,654.32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风险收益特征</w:t>
            </w:r>
          </w:p>
        </w:tc>
        <w:tc>
          <w:tcPr>
            <w:tcW w:w="3847" w:type="dxa"/>
          </w:tcPr>
          <w:p>
            <w:pPr>
              <w:pStyle w:val="TableText"/>
              <w:spacing w:before="54" w:line="200" w:lineRule="auto"/>
              <w:jc w:val="center"/>
              <w:rPr>
                <w:rFonts w:ascii="楷体" w:eastAsia="楷体" w:hAnsi="楷体" w:cs="楷体" w:hint="eastAsia"/>
                <w:sz w:val="24"/>
                <w:szCs w:val="24"/>
                <w:highlight w:val="yellow"/>
              </w:rPr>
            </w:pPr>
            <w:r>
              <w:rPr>
                <w:rFonts w:ascii="楷体" w:eastAsia="楷体" w:hAnsi="楷体" w:cs="楷体" w:hint="eastAsia"/>
                <w:spacing w:val="-8"/>
                <w:sz w:val="24"/>
                <w:szCs w:val="24"/>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收益类型</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9"/>
                <w:sz w:val="24"/>
                <w:szCs w:val="24"/>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管理人</w:t>
            </w:r>
          </w:p>
        </w:tc>
        <w:tc>
          <w:tcPr>
            <w:tcW w:w="3847" w:type="dxa"/>
          </w:tcPr>
          <w:p>
            <w:pPr>
              <w:pStyle w:val="TableText"/>
              <w:spacing w:before="55" w:line="200"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托管人</w:t>
            </w:r>
          </w:p>
        </w:tc>
        <w:tc>
          <w:tcPr>
            <w:tcW w:w="3847" w:type="dxa"/>
          </w:tcPr>
          <w:p>
            <w:pPr>
              <w:pStyle w:val="TableText"/>
              <w:spacing w:before="56" w:line="199" w:lineRule="auto"/>
              <w:jc w:val="center"/>
              <w:rPr>
                <w:rFonts w:ascii="楷体" w:eastAsia="楷体" w:hAnsi="楷体" w:cs="楷体" w:hint="eastAsia"/>
                <w:sz w:val="24"/>
                <w:szCs w:val="24"/>
                <w:highlight w:val="yellow"/>
              </w:rPr>
            </w:pPr>
            <w:r>
              <w:rPr>
                <w:rFonts w:ascii="楷体" w:eastAsia="楷体" w:hAnsi="楷体" w:cs="楷体" w:hint="eastAsia"/>
                <w:spacing w:val="-3"/>
                <w:sz w:val="24"/>
                <w:szCs w:val="24"/>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w:t>
            </w:r>
          </w:p>
        </w:tc>
        <w:tc>
          <w:tcPr>
            <w:tcW w:w="3847" w:type="dxa"/>
          </w:tcPr>
          <w:p>
            <w:pPr>
              <w:pStyle w:val="TableText"/>
              <w:spacing w:before="90" w:line="173" w:lineRule="auto"/>
              <w:jc w:val="center"/>
              <w:rPr>
                <w:rFonts w:ascii="楷体" w:eastAsia="楷体" w:hAnsi="楷体" w:cs="楷体" w:hint="eastAsia"/>
                <w:sz w:val="24"/>
                <w:szCs w:val="24"/>
                <w:highlight w:val="yellow"/>
              </w:rPr>
            </w:pPr>
            <w:r>
              <w:rPr>
                <w:rFonts w:ascii="楷体" w:eastAsia="楷体" w:hAnsi="楷体" w:cs="楷体" w:hint="eastAsia"/>
                <w:spacing w:val="-1"/>
                <w:sz w:val="24"/>
                <w:szCs w:val="24"/>
              </w:rPr>
              <w:t xml:space="preserve">31000188000558491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托管账户开户行</w:t>
            </w:r>
          </w:p>
        </w:tc>
        <w:tc>
          <w:tcPr>
            <w:tcW w:w="3847" w:type="dxa"/>
          </w:tcPr>
          <w:p>
            <w:pPr>
              <w:pStyle w:val="TableText"/>
              <w:spacing w:before="56" w:line="199" w:lineRule="auto"/>
              <w:jc w:val="center"/>
              <w:rPr>
                <w:rFonts w:ascii="楷体" w:eastAsia="楷体" w:hAnsi="楷体" w:cs="楷体" w:hint="eastAsia"/>
                <w:sz w:val="24"/>
                <w:szCs w:val="24"/>
              </w:rPr>
            </w:pPr>
            <w:r>
              <w:rPr>
                <w:rFonts w:ascii="楷体" w:eastAsia="楷体" w:hAnsi="楷体" w:cs="楷体" w:hint="eastAsia"/>
                <w:spacing w:val="-2"/>
                <w:sz w:val="24"/>
                <w:szCs w:val="24"/>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产品资产总值（元）</w:t>
            </w:r>
          </w:p>
        </w:tc>
        <w:tc>
          <w:tcPr>
            <w:tcW w:w="3847" w:type="dxa"/>
          </w:tcPr>
          <w:p>
            <w:pPr>
              <w:pStyle w:val="TableText"/>
              <w:spacing w:before="81" w:line="180" w:lineRule="auto"/>
              <w:jc w:val="center"/>
              <w:rPr>
                <w:rFonts w:ascii="楷体" w:eastAsia="楷体" w:hAnsi="楷体" w:cs="楷体" w:hint="eastAsia"/>
                <w:sz w:val="24"/>
                <w:szCs w:val="24"/>
              </w:rPr>
            </w:pPr>
            <w:r>
              <w:rPr>
                <w:rFonts w:ascii="楷体" w:eastAsia="楷体" w:hAnsi="楷体" w:cs="楷体" w:hint="eastAsia"/>
                <w:spacing w:val="-1"/>
                <w:sz w:val="24"/>
                <w:szCs w:val="24"/>
              </w:rPr>
              <w:t xml:space="preserve">384,744,704.05</w:t>
            </w:r>
            <w:r>
              <w:rPr>
                <w:rFonts w:ascii="楷体" w:eastAsia="楷体" w:hAnsi="楷体" w:cs="楷体" w:hint="eastAsia"/>
                <w:spacing w:val="-29"/>
                <w:sz w:val="24"/>
                <w:szCs w:val="24"/>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4"/>
                <w:szCs w:val="24"/>
              </w:rPr>
            </w:pPr>
            <w:r>
              <w:rPr>
                <w:rFonts w:ascii="楷体" w:eastAsia="楷体" w:hAnsi="楷体" w:cs="楷体" w:hint="eastAsia"/>
                <w:sz w:val="24"/>
                <w:szCs w:val="24"/>
              </w:rPr>
              <w:t xml:space="preserve">杠杆水平</w:t>
            </w:r>
          </w:p>
        </w:tc>
        <w:tc>
          <w:tcPr>
            <w:tcW w:w="3847" w:type="dxa"/>
          </w:tcPr>
          <w:p>
            <w:pPr>
              <w:pStyle w:val="TableText"/>
              <w:spacing w:before="56" w:line="202" w:lineRule="auto"/>
              <w:jc w:val="center"/>
              <w:rPr>
                <w:rFonts w:ascii="楷体" w:eastAsia="楷体" w:hAnsi="楷体" w:cs="楷体" w:hint="eastAsia"/>
                <w:sz w:val="24"/>
                <w:szCs w:val="24"/>
              </w:rPr>
            </w:pPr>
            <w:r>
              <w:rPr>
                <w:rFonts w:ascii="楷体" w:eastAsia="楷体" w:hAnsi="楷体" w:cs="楷体" w:hint="eastAsia"/>
                <w:spacing w:val="-4"/>
                <w:sz w:val="24"/>
                <w:szCs w:val="24"/>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报告日期</w:t>
            </w:r>
          </w:p>
        </w:tc>
        <w:tc>
          <w:tcPr>
            <w:tcW w:w="2100" w:type="dxa"/>
          </w:tcPr>
          <w:p>
            <w:pPr>
              <w:spacing w:line="320" w:lineRule="exact"/>
              <w:jc w:val="center"/>
              <w:rPr>
                <w:rFonts w:ascii="楷体" w:eastAsia="楷体" w:hAnsi="楷体" w:cs="楷体" w:hint="eastAsia"/>
              </w:rPr>
            </w:pPr>
            <w:r>
              <w:rPr>
                <w:rFonts w:ascii="楷体" w:eastAsia="楷体" w:hAnsi="楷体" w:cs="楷体" w:hint="eastAsia"/>
                <w:sz w:val="24"/>
                <w:szCs w:val="24"/>
              </w:rPr>
              <w:t xml:space="preserve">销售</w:t>
            </w:r>
            <w:r>
              <w:rPr>
                <w:rFonts w:ascii="楷体" w:eastAsia="楷体" w:hAnsi="楷体" w:cs="楷体" w:hint="eastAsia"/>
                <w:sz w:val="24"/>
                <w:szCs w:val="24"/>
                <w:lang w:eastAsia="zh-CN"/>
              </w:rPr>
              <w:t xml:space="preserve">名</w:t>
            </w:r>
            <w:r>
              <w:rPr>
                <w:rFonts w:ascii="楷体" w:eastAsia="楷体" w:hAnsi="楷体" w:cs="楷体" w:hint="eastAsia"/>
                <w:sz w:val="24"/>
                <w:szCs w:val="24"/>
              </w:rPr>
              <w:t xml:space="preserve">称</w:t>
            </w:r>
          </w:p>
        </w:tc>
        <w:tc>
          <w:tcPr>
            <w:tcW w:w="1470" w:type="dxa"/>
          </w:tcPr>
          <w:p>
            <w:pPr>
              <w:jc w:val="center"/>
              <w:rPr>
                <w:rFonts w:ascii="楷体" w:eastAsia="楷体" w:hAnsi="楷体" w:cs="楷体" w:hint="eastAsia"/>
              </w:rPr>
            </w:pPr>
            <w:r>
              <w:rPr>
                <w:rFonts w:ascii="楷体" w:eastAsia="楷体" w:hAnsi="楷体" w:cs="楷体" w:hint="eastAsia"/>
                <w:sz w:val="24"/>
                <w:szCs w:val="24"/>
              </w:rPr>
              <w:t xml:space="preserve">单位净值</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累计单位净值</w:t>
            </w:r>
          </w:p>
        </w:tc>
        <w:tc>
          <w:tcPr>
            <w:tcW w:w="1876" w:type="dxa"/>
          </w:tcPr>
          <w:p>
            <w:pPr>
              <w:jc w:val="center"/>
              <w:rPr>
                <w:rFonts w:ascii="楷体" w:eastAsia="楷体" w:hAnsi="楷体" w:cs="楷体" w:hint="eastAsia"/>
              </w:rPr>
            </w:pPr>
            <w:r>
              <w:rPr>
                <w:rFonts w:ascii="楷体" w:eastAsia="楷体" w:hAnsi="楷体" w:cs="楷体" w:hint="eastAsia"/>
                <w:sz w:val="24"/>
                <w:szCs w:val="24"/>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2025-06-30</w:t>
            </w:r>
          </w:p>
        </w:tc>
        <w:tc>
          <w:tcPr>
            <w:tcW w:w="210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苏银理财恒源季开放10号W</w:t>
            </w:r>
          </w:p>
        </w:tc>
        <w:tc>
          <w:tcPr>
            <w:tcW w:w="1470"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1.047632</w:t>
            </w:r>
          </w:p>
        </w:tc>
        <w:tc>
          <w:tcPr>
            <w:tcW w:w="1665"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1.047632</w:t>
            </w:r>
          </w:p>
        </w:tc>
        <w:tc>
          <w:tcPr>
            <w:tcW w:w="1876" w:type="dxa"/>
          </w:tcPr>
          <w:p>
            <w:pPr>
              <w:jc w:val="center"/>
              <w:rPr>
                <w:rFonts w:ascii="楷体" w:eastAsia="楷体" w:hAnsi="楷体" w:cs="楷体" w:hint="eastAsia"/>
                <w:sz w:val="24"/>
                <w:szCs w:val="24"/>
              </w:rPr>
            </w:pPr>
            <w:r>
              <w:rPr>
                <w:rFonts w:ascii="楷体" w:eastAsia="楷体" w:hAnsi="楷体" w:cs="楷体" w:hint="eastAsia"/>
                <w:sz w:val="24"/>
                <w:szCs w:val="24"/>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苏银理财恒源季开放10号S</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1.048728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1.048728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苏银理财恒源季开放10号A</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1.047498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1.047498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苏银理财恒源季开放10号C</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1.04923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1.04923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苏银理财恒源季开放10号D</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1.050086</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1.050086</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苏银理财恒源季开放10号E</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1.051813</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1.051813</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苏银理财恒源季开放10号F</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1.047504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1.047504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苏银理财恒源季开放10号G</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1.047494</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1.047494</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4"/>
                <w:u w:val="none"/>
              </w:rPr>
              <w:t xml:space="preserve">2025-06-30</w:t>
            </w:r>
          </w:p>
        </w:tc>
        <w:tc>
          <w:tcPr>
            <w:tcW w:w="2100" w:type="dxa"/>
          </w:tcPr>
          <w:p>
            <w:pPr>
              <w:pageBreakBefore w:val="0"/>
              <w:jc w:val="center"/>
              <w:textAlignment w:val="auto"/>
            </w:pPr>
            <w:r>
              <w:rPr>
                <w:rFonts w:ascii="楷体" w:eastAsia="楷体" w:hAnsi="楷体" w:cs="楷体"/>
                <w:b w:val="0"/>
                <w:i w:val="0"/>
                <w:strike w:val="0"/>
                <w:color w:val="auto"/>
                <w:position w:val="-1"/>
                <w:sz w:val="24"/>
                <w:u w:val="none"/>
              </w:rPr>
              <w:t xml:space="preserve">苏银理财恒源季开放10号H</w:t>
            </w:r>
          </w:p>
        </w:tc>
        <w:tc>
          <w:tcPr>
            <w:tcW w:w="1470" w:type="dxa"/>
          </w:tcPr>
          <w:p>
            <w:pPr>
              <w:pageBreakBefore w:val="0"/>
              <w:jc w:val="center"/>
              <w:textAlignment w:val="auto"/>
            </w:pPr>
            <w:r>
              <w:rPr>
                <w:rFonts w:ascii="楷体" w:eastAsia="楷体" w:hAnsi="楷体" w:cs="楷体"/>
                <w:b w:val="0"/>
                <w:i w:val="0"/>
                <w:strike w:val="0"/>
                <w:color w:val="auto"/>
                <w:position w:val="-1"/>
                <w:sz w:val="24"/>
                <w:u w:val="none"/>
              </w:rPr>
              <w:t xml:space="preserve">1.04748</w:t>
            </w:r>
          </w:p>
        </w:tc>
        <w:tc>
          <w:tcPr>
            <w:tcW w:w="1665" w:type="dxa"/>
          </w:tcPr>
          <w:p>
            <w:pPr>
              <w:pageBreakBefore w:val="0"/>
              <w:jc w:val="center"/>
              <w:textAlignment w:val="auto"/>
            </w:pPr>
            <w:r>
              <w:rPr>
                <w:rFonts w:ascii="楷体" w:eastAsia="楷体" w:hAnsi="楷体" w:cs="楷体"/>
                <w:b w:val="0"/>
                <w:i w:val="0"/>
                <w:strike w:val="0"/>
                <w:color w:val="auto"/>
                <w:position w:val="-1"/>
                <w:sz w:val="24"/>
                <w:u w:val="none"/>
              </w:rPr>
              <w:t xml:space="preserve">1.04748</w:t>
            </w:r>
          </w:p>
        </w:tc>
        <w:tc>
          <w:tcPr>
            <w:tcW w:w="1876" w:type="dxa"/>
          </w:tcPr>
          <w:p>
            <w:pPr>
              <w:pageBreakBefore w:val="0"/>
              <w:jc w:val="center"/>
              <w:textAlignment w:val="auto"/>
            </w:pPr>
            <w:r>
              <w:rPr>
                <w:rFonts w:ascii="楷体" w:eastAsia="楷体" w:hAnsi="楷体" w:cs="楷体"/>
                <w:b w:val="0"/>
                <w:i w:val="0"/>
                <w:strike w:val="0"/>
                <w:color w:val="auto"/>
                <w:position w:val="-1"/>
                <w:sz w:val="24"/>
                <w:u w:val="none"/>
              </w:rPr>
              <w:t xml:space="preserve">2.10%-2.90%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413"/>
        <w:gridCol w:w="2610"/>
        <w:gridCol w:w="2550"/>
      </w:tblGrid>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序号</w:t>
            </w:r>
          </w:p>
        </w:tc>
        <w:tc>
          <w:tcPr>
            <w:tcW w:w="2413"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资产类别</w:t>
            </w:r>
          </w:p>
        </w:tc>
        <w:tc>
          <w:tcPr>
            <w:tcW w:w="2610" w:type="dxa"/>
            <w:vAlign w:val="center"/>
          </w:tcPr>
          <w:p>
            <w:pPr>
              <w:spacing w:line="320" w:lineRule="exact"/>
              <w:rPr>
                <w:rFonts w:ascii="楷体" w:eastAsia="楷体" w:hAnsi="楷体" w:cs="楷体" w:hint="eastAsia"/>
                <w:sz w:val="21"/>
                <w:szCs w:val="21"/>
              </w:rPr>
            </w:pPr>
            <w:r>
              <w:rPr>
                <w:rFonts w:ascii="楷体" w:eastAsia="楷体" w:hAnsi="楷体" w:cs="楷体" w:hint="eastAsia"/>
                <w:sz w:val="21"/>
                <w:szCs w:val="21"/>
              </w:rPr>
              <w:t xml:space="preserve">直接投资占总资产的比例</w:t>
            </w:r>
          </w:p>
        </w:tc>
        <w:tc>
          <w:tcPr>
            <w:tcW w:w="2550" w:type="dxa"/>
            <w:vAlign w:val="center"/>
          </w:tcPr>
          <w:p>
            <w:pPr>
              <w:spacing w:line="320" w:lineRule="exact"/>
              <w:jc w:val="center"/>
              <w:rPr>
                <w:rFonts w:ascii="楷体" w:eastAsia="楷体" w:hAnsi="楷体" w:cs="楷体" w:hint="eastAsia"/>
                <w:sz w:val="21"/>
                <w:szCs w:val="21"/>
              </w:rPr>
            </w:pPr>
            <w:r>
              <w:rPr>
                <w:rFonts w:ascii="楷体" w:eastAsia="楷体" w:hAnsi="楷体" w:cs="楷体" w:hint="eastAsia"/>
                <w:sz w:val="21"/>
                <w:szCs w:val="21"/>
              </w:rPr>
              <w:t xml:space="preserve">间接投资占总资产的比例</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w:t>
            </w:r>
          </w:p>
        </w:tc>
        <w:tc>
          <w:tcPr>
            <w:tcW w:w="2413"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固定收益类</w:t>
            </w:r>
          </w:p>
        </w:tc>
        <w:tc>
          <w:tcPr>
            <w:tcW w:w="261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1.68%</w:t>
            </w:r>
          </w:p>
        </w:tc>
        <w:tc>
          <w:tcPr>
            <w:tcW w:w="2550" w:type="dxa"/>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98.32%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2</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权益类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3</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商品及金融衍生品类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4</w:t>
            </w:r>
          </w:p>
        </w:tc>
        <w:tc>
          <w:tcPr>
            <w:tcW w:w="2413"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混合类</w:t>
            </w:r>
          </w:p>
        </w:tc>
        <w:tc>
          <w:tcPr>
            <w:tcW w:w="261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c>
          <w:tcPr>
            <w:tcW w:w="2550" w:type="dxa"/>
            <w:vAlign w:val="center"/>
          </w:tcPr>
          <w:p>
            <w:pPr>
              <w:pageBreakBefore w:val="0"/>
              <w:jc w:val="center"/>
              <w:textAlignment w:val="auto"/>
            </w:pPr>
            <w:r>
              <w:rPr>
                <w:rFonts w:ascii="楷体" w:eastAsia="楷体" w:hAnsi="楷体" w:cs="楷体"/>
                <w:b w:val="0"/>
                <w:i w:val="0"/>
                <w:strike w:val="0"/>
                <w:color w:val="auto"/>
                <w:position w:val="-1"/>
                <w:sz w:val="24"/>
                <w:u w:val="none"/>
              </w:rPr>
              <w:t xml:space="preserve">-</w:t>
            </w:r>
          </w:p>
        </w:tc>
      </w:tr>
      <w:tr>
        <w:tblPrEx>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140" w:type="dxa"/>
            <w:gridSpan w:val="2"/>
            <w:shd w:val="clear" w:color="auto" w:fill="auto"/>
            <w:vAlign w:val="center"/>
          </w:tcPr>
          <w:p>
            <w:pPr>
              <w:tabs>
                <w:tab w:val="center" w:pos="1522"/>
                <w:tab w:val="right" w:pos="2924"/>
              </w:tabs>
              <w:jc w:val="left"/>
              <w:rPr>
                <w:rFonts w:ascii="楷体" w:eastAsia="楷体" w:hAnsi="楷体" w:cs="楷体" w:hint="eastAsia"/>
                <w:sz w:val="24"/>
                <w:szCs w:val="24"/>
                <w:lang w:eastAsia="zh-CN"/>
              </w:rPr>
            </w:pPr>
            <w:r>
              <w:rPr>
                <w:rFonts w:ascii="楷体" w:eastAsia="楷体" w:hAnsi="楷体" w:cs="楷体" w:hint="eastAsia"/>
                <w:sz w:val="24"/>
                <w:szCs w:val="24"/>
                <w:lang w:eastAsia="zh-CN"/>
              </w:rPr>
              <w:tab/>
            </w:r>
            <w:r>
              <w:rPr>
                <w:rFonts w:ascii="楷体" w:eastAsia="楷体" w:hAnsi="楷体" w:cs="楷体" w:hint="eastAsia"/>
                <w:sz w:val="24"/>
                <w:szCs w:val="24"/>
              </w:rPr>
              <w:t xml:space="preserve">合计</w:t>
            </w:r>
            <w:r>
              <w:rPr>
                <w:rFonts w:ascii="楷体" w:eastAsia="楷体" w:hAnsi="楷体" w:cs="楷体" w:hint="eastAsia"/>
                <w:sz w:val="24"/>
                <w:szCs w:val="24"/>
                <w:lang w:eastAsia="zh-CN"/>
              </w:rPr>
              <w:tab/>
            </w:r>
          </w:p>
        </w:tc>
        <w:tc>
          <w:tcPr>
            <w:tcW w:w="2610" w:type="dxa"/>
            <w:shd w:val="clear" w:color="auto" w:fill="auto"/>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1.68%</w:t>
            </w:r>
          </w:p>
        </w:tc>
        <w:tc>
          <w:tcPr>
            <w:tcW w:w="2550" w:type="dxa"/>
            <w:shd w:val="clear" w:color="auto" w:fill="FFFFFF"/>
            <w:vAlign w:val="center"/>
          </w:tcPr>
          <w:p>
            <w:pPr>
              <w:jc w:val="center"/>
              <w:rPr>
                <w:rFonts w:ascii="楷体" w:eastAsia="楷体" w:hAnsi="楷体" w:cs="楷体" w:hint="eastAsia"/>
                <w:sz w:val="24"/>
                <w:szCs w:val="24"/>
              </w:rPr>
            </w:pPr>
            <w:r>
              <w:rPr>
                <w:rFonts w:ascii="楷体" w:eastAsia="楷体" w:hAnsi="楷体" w:cs="楷体" w:hint="eastAsia"/>
                <w:sz w:val="24"/>
                <w:szCs w:val="24"/>
              </w:rPr>
              <w:t xml:space="preserve">98.32%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序号</w:t>
            </w:r>
          </w:p>
        </w:tc>
        <w:tc>
          <w:tcPr>
            <w:tcW w:w="2434"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资产名称</w:t>
            </w:r>
          </w:p>
        </w:tc>
        <w:tc>
          <w:tcPr>
            <w:tcW w:w="127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资产类别</w:t>
            </w:r>
          </w:p>
        </w:tc>
        <w:tc>
          <w:tcPr>
            <w:tcW w:w="2235"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持有金额（元）</w:t>
            </w:r>
          </w:p>
        </w:tc>
        <w:tc>
          <w:tcPr>
            <w:tcW w:w="1800" w:type="dxa"/>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rPr>
            </w:pPr>
            <w:r>
              <w:rPr>
                <w:rFonts w:ascii="楷体" w:eastAsia="楷体" w:hAnsi="楷体" w:cs="楷体" w:hint="eastAsia"/>
                <w:sz w:val="22"/>
              </w:rPr>
              <w:t xml:space="preserve">1</w:t>
            </w:r>
          </w:p>
        </w:tc>
        <w:tc>
          <w:tcPr>
            <w:tcW w:w="2434"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1275" w:type="dxa"/>
          </w:tcPr>
          <w:p>
            <w:pPr>
              <w:jc w:val="center"/>
              <w:rPr>
                <w:rFonts w:ascii="楷体" w:eastAsia="楷体" w:hAnsi="楷体" w:cs="楷体" w:hint="eastAsia"/>
                <w:sz w:val="22"/>
              </w:rPr>
            </w:pPr>
            <w:r>
              <w:rPr>
                <w:rFonts w:ascii="楷体" w:eastAsia="楷体" w:hAnsi="楷体" w:cs="楷体" w:hint="eastAsia"/>
                <w:sz w:val="22"/>
              </w:rPr>
              <w:t xml:space="preserve">现金及银行存款</w:t>
            </w:r>
          </w:p>
        </w:tc>
        <w:tc>
          <w:tcPr>
            <w:tcW w:w="2235" w:type="dxa"/>
          </w:tcPr>
          <w:p>
            <w:pPr>
              <w:jc w:val="center"/>
              <w:rPr>
                <w:rFonts w:ascii="楷体" w:eastAsia="楷体" w:hAnsi="楷体" w:cs="楷体" w:hint="eastAsia"/>
                <w:sz w:val="22"/>
              </w:rPr>
            </w:pPr>
            <w:r>
              <w:rPr>
                <w:rFonts w:ascii="楷体" w:eastAsia="楷体" w:hAnsi="楷体" w:cs="楷体" w:hint="eastAsia"/>
                <w:sz w:val="22"/>
              </w:rPr>
              <w:t xml:space="preserve">12,201,682.13</w:t>
            </w:r>
          </w:p>
        </w:tc>
        <w:tc>
          <w:tcPr>
            <w:tcW w:w="1800" w:type="dxa"/>
          </w:tcPr>
          <w:p>
            <w:pPr>
              <w:jc w:val="center"/>
              <w:rPr>
                <w:rFonts w:ascii="楷体" w:eastAsia="楷体" w:hAnsi="楷体" w:cs="楷体" w:hint="eastAsia"/>
                <w:sz w:val="22"/>
              </w:rPr>
            </w:pPr>
            <w:r>
              <w:rPr>
                <w:rFonts w:ascii="楷体" w:eastAsia="楷体" w:hAnsi="楷体" w:cs="楷体" w:hint="eastAsia"/>
                <w:sz w:val="22"/>
              </w:rPr>
              <w:t xml:space="preserve">2.89%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24特别国债06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8,276,675.78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4,578,462.32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4,126,013.26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4,034,518.18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24平安银行CD129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2,313,216.56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25兴业银行永续债01BC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2,290,130.43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25建行二级资本债01BC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2,197,507.89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25农业银行CD183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2,057,529.20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25邮储永续债01BC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1,949,672.73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rPr>
          <w:rFonts w:ascii="楷体" w:eastAsia="楷体" w:hAnsi="楷体" w:cs="楷体" w:hint="eastAsia"/>
          <w:b w:val="0"/>
          <w:sz w:val="21"/>
        </w:rPr>
      </w:pPr>
      <w:r>
        <w:rPr>
          <w:rFonts w:ascii="楷体" w:eastAsia="楷体" w:hAnsi="楷体" w:cs="楷体" w:hint="eastAsia"/>
          <w:b w:val="0"/>
          <w:sz w:val="21"/>
        </w:rPr>
        <w:t xml:space="preserve">（四）关联交易情况</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5,973,311.00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99,903,892.00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81,204,688.00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105,163.82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31,917.21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注：本报告中理财产品托管费、代销费、直销费均基于产品实际支付金额进行统计。</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366,898,375.33</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2025-03-31</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268,532,049.10</w:t>
            </w:r>
          </w:p>
        </w:tc>
      </w:tr>
    </w:tbl>
    <w:p>
      <w:pPr>
        <w:pStyle w:val="标题4"/>
        <w:rPr>
          <w:rFonts w:ascii="楷体" w:eastAsia="楷体" w:hAnsi="楷体" w:cs="楷体" w:hint="eastAsia"/>
        </w:rPr>
      </w:pPr>
    </w:p>
    <w:p>
      <w:pPr>
        <w:pStyle w:val="Heading3"/>
        <w:rPr>
          <w:rFonts w:ascii="楷体" w:eastAsia="楷体" w:hAnsi="楷体" w:cs="楷体" w:hint="eastAsia"/>
          <w:spacing w:val="0"/>
        </w:rPr>
      </w:pPr>
      <w:bookmarkStart w:id="1" w:name="_GoBack"/>
      <w:r>
        <w:rPr>
          <w:rFonts w:ascii="楷体" w:eastAsia="楷体" w:hAnsi="楷体" w:cs="楷体" w:hint="eastAsia"/>
          <w:spacing w:val="0"/>
        </w:rPr>
        <w:t xml:space="preserve">四</w:t>
      </w:r>
      <w:r>
        <w:rPr>
          <w:rFonts w:ascii="楷体" w:hAnsi="楷体" w:cs="楷体" w:hint="eastAsia"/>
          <w:spacing w:val="0"/>
          <w:lang w:eastAsia="zh-CN"/>
        </w:rPr>
        <w:t xml:space="preserve">、</w:t>
      </w:r>
      <w:r>
        <w:rPr>
          <w:rFonts w:ascii="楷体" w:eastAsia="楷体" w:hAnsi="楷体" w:cs="楷体" w:hint="eastAsia"/>
          <w:spacing w:val="0"/>
        </w:rPr>
        <w:t xml:space="preserve">投资运作情况</w:t>
      </w: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1、运作期回顾</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r>
        <w:rPr>
          <w:rFonts w:ascii="楷体" w:eastAsia="楷体" w:hAnsi="楷体" w:cs="楷体" w:hint="eastAsia"/>
          <w:spacing w:val="0"/>
          <w:sz w:val="21"/>
          <w:szCs w:val="21"/>
        </w:rPr>
        <w:br/>
      </w:r>
      <w:r>
        <w:rPr>
          <w:rFonts w:ascii="楷体" w:eastAsia="楷体" w:hAnsi="楷体" w:cs="楷体" w:hint="eastAsia"/>
          <w:spacing w:val="0"/>
          <w:sz w:val="21"/>
          <w:szCs w:val="21"/>
        </w:rPr>
        <w:t xml:space="preserve">    本理财产品以固收类资产为主，主要配置中高等级债券，组合久期适当，兼顾净值稳定与收益进取。上半年根据信用利差与期限利差变动情况，对信用债进行了灵活调配，积极参与确定性较高的交易机会增厚产品收益。</w:t>
      </w:r>
    </w:p>
    <w:p>
      <w:pPr>
        <w:pStyle w:val="BodyText"/>
        <w:spacing w:before="0" w:line="240" w:lineRule="auto"/>
        <w:ind w:left="0" w:right="0" w:firstLine="0" w:firstLineChars="0"/>
        <w:rPr>
          <w:rFonts w:ascii="楷体" w:eastAsia="楷体" w:hAnsi="楷体" w:cs="楷体" w:hint="eastAsia"/>
          <w:spacing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2、后市展望及下阶段投资策略</w:t>
      </w:r>
    </w:p>
    <w:p>
      <w:pPr>
        <w:pStyle w:val="BodyText"/>
        <w:spacing w:before="0" w:line="240" w:lineRule="auto"/>
        <w:ind w:left="0" w:right="0" w:firstLine="0" w:firstLineChars="0"/>
        <w:jc w:val="left"/>
        <w:rPr>
          <w:rFonts w:ascii="楷体" w:eastAsia="楷体" w:hAnsi="楷体" w:cs="楷体" w:hint="eastAsia"/>
          <w:spacing w:val="0"/>
          <w:sz w:val="21"/>
          <w:szCs w:val="21"/>
        </w:rPr>
      </w:pPr>
      <w:r>
        <w:rPr>
          <w:rFonts w:ascii="楷体" w:eastAsia="楷体" w:hAnsi="楷体" w:cs="楷体" w:hint="eastAsia"/>
          <w:spacing w:val="0"/>
          <w:sz w:val="21"/>
          <w:szCs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0" w:firstLineChars="0"/>
        <w:rPr>
          <w:rFonts w:ascii="楷体" w:eastAsia="楷体" w:hAnsi="楷体" w:cs="楷体" w:hint="eastAsia"/>
          <w:bCs/>
          <w:spacing w:val="0"/>
          <w:kern w:val="0"/>
          <w:sz w:val="21"/>
          <w:szCs w:val="21"/>
        </w:rPr>
      </w:pPr>
    </w:p>
    <w:p>
      <w:pPr>
        <w:pStyle w:val="Heading3"/>
        <w:rPr>
          <w:rFonts w:ascii="楷体" w:eastAsia="楷体" w:hAnsi="楷体" w:cs="楷体" w:hint="eastAsia"/>
          <w:b w:val="0"/>
          <w:spacing w:val="0"/>
          <w:sz w:val="21"/>
          <w:szCs w:val="21"/>
        </w:rPr>
      </w:pPr>
      <w:r>
        <w:rPr>
          <w:rFonts w:ascii="楷体" w:eastAsia="楷体" w:hAnsi="楷体" w:cs="楷体" w:hint="eastAsia"/>
          <w:b w:val="0"/>
          <w:spacing w:val="0"/>
          <w:sz w:val="21"/>
          <w:szCs w:val="21"/>
        </w:rPr>
        <w:t xml:space="preserve">3、流动性风险分析</w:t>
      </w:r>
    </w:p>
    <w:p>
      <w:pPr>
        <w:pStyle w:val="BodyText"/>
        <w:spacing w:before="0" w:line="240" w:lineRule="auto"/>
        <w:ind w:left="0" w:right="0" w:firstLine="0" w:firstLineChars="0"/>
        <w:rPr>
          <w:rFonts w:ascii="楷体" w:eastAsia="楷体" w:hAnsi="楷体" w:cs="楷体" w:hint="eastAsia"/>
          <w:spacing w:val="0"/>
          <w:sz w:val="21"/>
          <w:szCs w:val="21"/>
        </w:rPr>
      </w:pPr>
      <w:r>
        <w:rPr>
          <w:rFonts w:ascii="楷体" w:eastAsia="楷体" w:hAnsi="楷体" w:cs="楷体" w:hint="eastAsia"/>
          <w:spacing w:val="0"/>
          <w:sz w:val="21"/>
          <w:szCs w:val="21"/>
        </w:rPr>
        <w:t xml:space="preserve">    本产品持仓资产以标准化债权类资产为主，变现能力较强，通过组合久期管理、流动性指标监测等多项措施持续加强流动性管理，有效控制产品的流动性风险。</w:t>
      </w:r>
      <w:bookmarkEnd w:id="1"/>
    </w:p>
    <w:p>
      <w:pPr>
        <w:pStyle w:val="BodyText"/>
        <w:spacing w:before="0" w:line="240" w:lineRule="auto"/>
        <w:ind w:left="0" w:right="0" w:firstLine="0" w:firstLineChars="0"/>
        <w:rPr>
          <w:rFonts w:ascii="楷体" w:eastAsia="楷体" w:hAnsi="楷体" w:cs="楷体" w:hint="eastAsia"/>
          <w:spacing w:val="9"/>
          <w:sz w:val="21"/>
        </w:rPr>
      </w:pPr>
    </w:p>
    <w:p>
      <w:pPr>
        <w:pStyle w:val="Heading3"/>
        <w:rPr>
          <w:rFonts w:ascii="楷体" w:hAnsi="楷体"/>
          <w:sz w:val="24"/>
          <w:szCs w:val="24"/>
        </w:rPr>
      </w:pPr>
      <w:r>
        <w:rPr>
          <w:rFonts w:ascii="楷体" w:hAnsi="楷体" w:hint="eastAsia"/>
          <w:sz w:val="24"/>
          <w:szCs w:val="24"/>
        </w:rPr>
        <w:t xml:space="preserve">五</w:t>
      </w:r>
      <w:r>
        <w:rPr>
          <w:rFonts w:ascii="楷体" w:hAnsi="楷体" w:hint="eastAsia"/>
          <w:sz w:val="24"/>
          <w:szCs w:val="24"/>
          <w:lang w:eastAsia="zh-CN"/>
        </w:rPr>
        <w:t xml:space="preserve">、</w:t>
      </w:r>
      <w:r>
        <w:rPr>
          <w:rFonts w:ascii="楷体" w:hAnsi="楷体" w:hint="eastAsia"/>
          <w:sz w:val="24"/>
          <w:szCs w:val="24"/>
        </w:rPr>
        <w:t xml:space="preserve">托管人报告</w:t>
      </w:r>
    </w:p>
    <w:p>
      <w:pPr>
        <w:ind w:firstLine="420" w:firstLineChars="200"/>
        <w:jc w:val="left"/>
        <w:rPr>
          <w:rFonts w:ascii="楷体" w:eastAsia="楷体" w:hAnsi="楷体" w:cs="楷体" w:hint="eastAsia"/>
          <w:spacing w:val="9"/>
          <w:sz w:val="21"/>
          <w:szCs w:val="21"/>
        </w:rPr>
      </w:pPr>
      <w:r>
        <w:rPr>
          <w:rFonts w:ascii="楷体" w:eastAsia="楷体" w:hAnsi="楷体" w:hint="eastAsia"/>
          <w:bCs/>
          <w:kern w:val="0"/>
          <w:sz w:val="21"/>
          <w:szCs w:val="21"/>
        </w:rPr>
        <w:t xml:space="preserve">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2025年06月30日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328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328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328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328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nnotationreference">
    <w:name w:val="annotation reference"/>
    <w:uiPriority w:val="99"/>
    <w:unhideWhenUsed/>
    <w:qFormat/>
    <w:rPr>
      <w:sz w:val="21"/>
      <w:szCs w:val="21"/>
    </w:r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jsyh</cp:lastModifiedBy>
  <dcterms:modified xsi:type="dcterms:W3CDTF">2025-08-22T09:29:50Z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4</TotalTime>
  <ScaleCrop>false</ScaleCrop>
  <LinksUpToDate>false</LinksUpToDate>
  <CharactersWithSpaces>2803</CharactersWithSpaces>
  <Application>WPS Office_11.8.2.10321_F1E327BC-269C-435d-A152-05C5408002CA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4</TotalTime>
  <Pages>4</Pages>
  <Words>419</Words>
  <Characters>2389</Characters>
  <Application>WPS Office_11.8.2.10321_F1E327BC-269C-435d-A152-05C5408002CA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jsyh</cp:lastModifiedBy>
  <cp:revision>22</cp:revision>
  <dcterms:created xsi:type="dcterms:W3CDTF">2021-11-18T10:04:00Z</dcterms:created>
  <dcterms:modified xsi:type="dcterms:W3CDTF">2025-08-22T10:20:59Z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2052-11.8.2.10321</vt:lpstr>
  </property>
  <property fmtid="{D5CDD505-2E9C-101B-9397-08002B2CF9AE}" pid="3" name="ICV">
    <vt:lpstr>31802637FF8E4298AD1DCE61A946E12D</vt:lpstr>
  </property>
</Properties>
</file>