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苏银理财恒源6月定开14期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2025年半年度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苏银理财恒源6月定开14期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2023年11月14日</w:t>
      </w:r>
      <w:r>
        <w:rPr>
          <w:rFonts w:ascii="楷体" w:eastAsia="楷体" w:hAnsi="楷体" w:cs="楷体" w:hint="eastAsia"/>
        </w:rPr>
        <w:t xml:space="preserve">成立，于</w:t>
      </w:r>
      <w:r>
        <w:rPr>
          <w:rFonts w:ascii="楷体" w:eastAsia="楷体" w:hAnsi="楷体" w:cs="楷体" w:hint="eastAsia"/>
          <w:spacing w:val="-7"/>
        </w:rPr>
        <w:t xml:space="preserve">2023年11月14日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苏银理财恒源6月定开14期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Z7003123000184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152,709,327.00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153,069,213.01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31000188000560990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153,083,760.22</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苏银理财恒源6月定开14期A</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1.002314</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1.045354</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苏银理财恒源6月定开14期C</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1.002416</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1.047024</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2.40%-3.20%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苏银理财恒源6月定开14期D</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1.002454</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1.047832</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2.45%-3.25%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苏银理财恒源6月定开14期F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1.00232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1.045378</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苏银理财恒源6月定开14期G</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1.002413</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1.047013</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2.40%-3.20%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苏银理财恒源6月定开14期L</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1.00232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1.045365</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2.30%-3.10%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1.75%</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98.25%</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1.75%</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98.25%</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现金及银行存款</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现金及银行存款</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3,685,020.21</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2.10%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21深圳地铁MTN004(碳中和债)</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3,408,946.80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1.94%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25江阴城发PPN001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3,307,768.23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1.88%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25通州湾PPN001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3,307,379.56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1.88%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荟享211A</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3,274,186.48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1.86%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25交行TLAC非资本债01A(BC)</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3,261,187.13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1.86%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25广发银行CD038</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3,240,506.56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1.84%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25淮安淮安PPN003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2,593,128.21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1.48%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25中节能GN001(科创债)</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2,468,842.49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1.41%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25高淳经开PPN002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2,447,682.23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1.39%</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156,076,696.00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191,000,000.00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37,468.56</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19,664.49</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152,709,327.00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202,332,470.00</w:t>
            </w:r>
          </w:p>
        </w:tc>
      </w:tr>
    </w:tbl>
    <w:p>
      <w:pPr>
        <w:pStyle w:val="标题4"/>
        <w:rPr>
          <w:rFonts w:ascii="楷体" w:eastAsia="楷体" w:hAnsi="楷体" w:cs="楷体" w:hint="eastAsia"/>
        </w:rPr>
      </w:pPr>
    </w:p>
    <w:p>
      <w:pPr>
        <w:pStyle w:val="Heading3"/>
        <w:rPr>
          <w:rFonts w:ascii="楷体" w:eastAsia="楷体" w:hAnsi="楷体" w:cs="楷体" w:hint="eastAsia"/>
          <w:spacing w:val="0"/>
        </w:rPr>
      </w:pPr>
      <w:bookmarkStart w:id="1" w:name="_GoBack"/>
      <w:r>
        <w:rPr>
          <w:rFonts w:ascii="楷体" w:eastAsia="楷体" w:hAnsi="楷体" w:cs="楷体" w:hint="eastAsia"/>
          <w:spacing w:val="0"/>
        </w:rPr>
        <w:t xml:space="preserve">四</w:t>
      </w:r>
      <w:r>
        <w:rPr>
          <w:rFonts w:ascii="楷体" w:hAnsi="楷体" w:cs="楷体" w:hint="eastAsia"/>
          <w:spacing w:val="0"/>
          <w:lang w:eastAsia="zh-CN"/>
        </w:rPr>
        <w:t xml:space="preserve">、</w:t>
      </w:r>
      <w:r>
        <w:rPr>
          <w:rFonts w:ascii="楷体" w:eastAsia="楷体" w:hAnsi="楷体" w:cs="楷体" w:hint="eastAsia"/>
          <w:spacing w:val="0"/>
        </w:rPr>
        <w:t xml:space="preserve">投资运作情况</w:t>
      </w: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1、运作期回顾</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2025年上半年在货币政策节奏变化、流动性松紧转换以及海外事件驱动等多因素作用下，债市告别单边牛市，进入高波动震荡市。（1）1月初-3月底：稳汇率与防风险诉求上升，市场主线为资金面收紧与风险偏好抬升。年初稳汇率与防风险诉求下资金面持续紧张，长债与资金脱敏、表现具有韧性。春节后非银存款流失与信贷“开门红”影响下，银行负债端压力仍大，存单利率至2.0%上方；央行持续净回笼，资金面仍维持紧平衡。二手房销量走强、Deepseek科技出现突破、民营企业座谈会召开等事件使得宏观叙事的积极转变，风险偏好显著提升，叠加资金紧张情绪由短及长传递，长端利率快速上行。3月中下旬，随着赎回担忧证伪、资金面边际稳定，债市震荡修复。（2）4月初-5月底：关税预期反复、货币政策落地，收益率快速下行后震荡回调。4月初受特朗普对等关税政策影响，宽货币预期再起，债牛快速重启，后续海外关税态度反复，超长期特别国债首发叠加政治局会议落地，债市维持震荡、博弈加剧，月末在换券行情和PMI数据带动下，债市再迎上涨。5月上旬货币政策落地带动资金价格下台阶，随后债市围绕关税谈判情况、基本面数据小幅震荡，下旬存款利率调降带来存款搬家预期、银行卖老券兑现利润预期等机构行为带动债市整体回调。（3）6月：利好因素累积增多，收益率再度下行但破前低仍需等待货币政策的新增利多。进入6月，大行持续买短债，央行买断式逆回购有力呵护，叠加基本面数据表现偏弱、地缘政治冲突加剧，债市利好因素累积增多，收益率基本处于下行通道，但止盈情绪升温制约债市进一步上涨空间，市场博弈利差挖掘行情。</w:t>
      </w:r>
      <w:r>
        <w:rPr>
          <w:rFonts w:ascii="楷体" w:eastAsia="楷体" w:hAnsi="楷体" w:cs="楷体" w:hint="eastAsia"/>
          <w:spacing w:val="0"/>
          <w:sz w:val="21"/>
          <w:szCs w:val="21"/>
        </w:rPr>
        <w:br/>
      </w:r>
      <w:r>
        <w:rPr>
          <w:rFonts w:ascii="楷体" w:eastAsia="楷体" w:hAnsi="楷体" w:cs="楷体" w:hint="eastAsia"/>
          <w:spacing w:val="0"/>
          <w:sz w:val="21"/>
          <w:szCs w:val="21"/>
        </w:rPr>
        <w:t xml:space="preserve">    本理财产品以固收类资产为主，通过对宏观经济、市场利率、债券市场需求供给的变化、信用风险等进行充分研判，主动构建并调整债券资产投资组合，力争获取超额收益。</w:t>
      </w:r>
    </w:p>
    <w:p>
      <w:pPr>
        <w:pStyle w:val="BodyText"/>
        <w:spacing w:before="0" w:line="240" w:lineRule="auto"/>
        <w:ind w:left="0" w:right="0" w:firstLine="0" w:firstLineChars="0"/>
        <w:rPr>
          <w:rFonts w:ascii="楷体" w:eastAsia="楷体" w:hAnsi="楷体" w:cs="楷体" w:hint="eastAsia"/>
          <w:spacing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2、后市展望及下阶段投资策略</w:t>
      </w:r>
    </w:p>
    <w:p>
      <w:pPr>
        <w:pStyle w:val="BodyText"/>
        <w:spacing w:before="0" w:line="240" w:lineRule="auto"/>
        <w:ind w:left="0" w:right="0" w:firstLine="0" w:firstLineChars="0"/>
        <w:jc w:val="left"/>
        <w:rPr>
          <w:rFonts w:ascii="楷体" w:eastAsia="楷体" w:hAnsi="楷体" w:cs="楷体" w:hint="eastAsia"/>
          <w:spacing w:val="0"/>
          <w:sz w:val="21"/>
          <w:szCs w:val="21"/>
        </w:rPr>
      </w:pPr>
      <w:r>
        <w:rPr>
          <w:rFonts w:ascii="楷体" w:eastAsia="楷体" w:hAnsi="楷体" w:cs="楷体" w:hint="eastAsia"/>
          <w:spacing w:val="0"/>
          <w:sz w:val="21"/>
          <w:szCs w:val="21"/>
        </w:rPr>
        <w:t xml:space="preserve">    未来，我司将持续对内外部经济环境进行密切跟踪和研判，持续关注各央行政策的边际变化，控制组合久期处于合理稳健区间。资产配置上兼顾安全性、流动性和收益性，坚守风险合规底线，紧密跟踪市场变化，强化投资研究分析，致力于为广大投资者创造长期稳健的投资回报。</w:t>
      </w:r>
    </w:p>
    <w:p>
      <w:pPr>
        <w:ind w:firstLine="0" w:firstLineChars="0"/>
        <w:rPr>
          <w:rFonts w:ascii="楷体" w:eastAsia="楷体" w:hAnsi="楷体" w:cs="楷体" w:hint="eastAsia"/>
          <w:bCs/>
          <w:spacing w:val="0"/>
          <w:kern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3、流动性风险分析</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本产品持仓资产以标准化债权类资产为主，变现能力较强，通过组合久期管理、流动性指标监测等多项措施持续加强流动性管理，有效控制产品的流动性风险。</w:t>
      </w:r>
      <w:bookmarkEnd w:id="1"/>
    </w:p>
    <w:p>
      <w:pPr>
        <w:pStyle w:val="BodyText"/>
        <w:spacing w:before="0" w:line="240" w:lineRule="auto"/>
        <w:ind w:left="0" w:right="0" w:firstLine="0" w:firstLineChars="0"/>
        <w:rPr>
          <w:rFonts w:ascii="楷体" w:eastAsia="楷体" w:hAnsi="楷体" w:cs="楷体" w:hint="eastAsia"/>
          <w:spacing w:val="9"/>
          <w:sz w:val="21"/>
        </w:rPr>
      </w:pPr>
    </w:p>
    <w:p>
      <w:pPr>
        <w:pStyle w:val="Heading3"/>
        <w:rPr>
          <w:rFonts w:ascii="楷体" w:hAnsi="楷体"/>
          <w:sz w:val="24"/>
          <w:szCs w:val="24"/>
        </w:rPr>
      </w:pPr>
      <w:r>
        <w:rPr>
          <w:rFonts w:ascii="楷体" w:hAnsi="楷体" w:hint="eastAsia"/>
          <w:sz w:val="24"/>
          <w:szCs w:val="24"/>
        </w:rPr>
        <w:t xml:space="preserve">五</w:t>
      </w:r>
      <w:r>
        <w:rPr>
          <w:rFonts w:ascii="楷体" w:hAnsi="楷体" w:hint="eastAsia"/>
          <w:sz w:val="24"/>
          <w:szCs w:val="24"/>
          <w:lang w:eastAsia="zh-CN"/>
        </w:rPr>
        <w:t xml:space="preserve">、</w:t>
      </w:r>
      <w:r>
        <w:rPr>
          <w:rFonts w:ascii="楷体" w:hAnsi="楷体" w:hint="eastAsia"/>
          <w:sz w:val="24"/>
          <w:szCs w:val="24"/>
        </w:rPr>
        <w:t xml:space="preserve">托管人报告</w:t>
      </w:r>
    </w:p>
    <w:p>
      <w:pPr>
        <w:ind w:firstLine="420" w:firstLineChars="200"/>
        <w:jc w:val="left"/>
        <w:rPr>
          <w:rFonts w:ascii="楷体" w:eastAsia="楷体" w:hAnsi="楷体" w:cs="楷体" w:hint="eastAsia"/>
          <w:spacing w:val="9"/>
          <w:sz w:val="21"/>
          <w:szCs w:val="21"/>
        </w:rPr>
      </w:pPr>
      <w:r>
        <w:rPr>
          <w:rFonts w:ascii="楷体" w:eastAsia="楷体" w:hAnsi="楷体" w:hint="eastAsia"/>
          <w:bCs/>
          <w:kern w:val="0"/>
          <w:sz w:val="21"/>
          <w:szCs w:val="21"/>
        </w:rPr>
        <w:t xml:space="preserve">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3315"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3317"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3318"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3320"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4</TotalTime>
  <Pages>4</Pages>
  <Words>419</Words>
  <Characters>2389</Characters>
  <Application>WPS Office_11.8.2.10321_F1E327BC-269C-435d-A152-05C5408002CA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jsyh</cp:lastModifiedBy>
  <cp:revision>22</cp:revision>
  <dcterms:created xsi:type="dcterms:W3CDTF">2021-11-18T10:04:00Z</dcterms:created>
  <dcterms:modified xsi:type="dcterms:W3CDTF">2025-08-22T10:21:25Z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2052-11.8.2.10321</vt:lpstr>
  </property>
  <property fmtid="{D5CDD505-2E9C-101B-9397-08002B2CF9AE}" pid="3" name="ICV">
    <vt:lpstr>31802637FF8E4298AD1DCE61A946E12D</vt:lpstr>
  </property>
</Properties>
</file>