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苏银理财恒源封闭债权139期ESG</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2025年半年度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苏银理财恒源封闭债权139期ESG</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2024年10月30日</w:t>
      </w:r>
      <w:r>
        <w:rPr>
          <w:rFonts w:hint="eastAsia" w:ascii="楷体" w:hAnsi="楷体" w:eastAsia="楷体" w:cs="楷体"/>
        </w:rPr>
        <w:t>成立，于</w:t>
      </w:r>
      <w:r>
        <w:rPr>
          <w:rFonts w:hint="eastAsia" w:ascii="楷体" w:hAnsi="楷体" w:eastAsia="楷体" w:cs="楷体"/>
          <w:spacing w:val="-7"/>
        </w:rPr>
        <w:t>2024年10月30日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苏银理财恒源封闭债权139期ESG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Z7003124000141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514,293,858.00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525,153,258.24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31000188000627689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525,809,971.2</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100.13%</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苏银理财恒源封闭债权139期ESG（13月）D</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1.02145</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1.02145</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3.05%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苏银理财恒源封闭债权139期ESG（13月）E</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1.021047</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1.021047</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苏银理财恒源封闭债权139期ESG（13月）A</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1.021179</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1.021179</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3.05%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苏银理财恒源封闭债权139期ESG（13月）B</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1.020506</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1.020506</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苏银理财恒源封闭债权139期ESG（13月）C</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1.01916</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1.01916</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2.75%</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1.24%</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98.76%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1.24%</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98.76%</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华鑫信托-惠盈格昱25号-京东白条取现</w:t>
            </w:r>
          </w:p>
        </w:tc>
        <w:tc>
          <w:tcPr>
            <w:tcW w:w="1275" w:type="dxa"/>
          </w:tcPr>
          <w:p>
            <w:pPr>
              <w:jc w:val="center"/>
              <w:rPr>
                <w:rFonts w:hint="eastAsia" w:ascii="楷体" w:hAnsi="楷体" w:eastAsia="楷体" w:cs="楷体"/>
                <w:sz w:val="22"/>
              </w:rPr>
            </w:pPr>
            <w:r>
              <w:rPr>
                <w:rFonts w:hint="eastAsia" w:ascii="楷体" w:hAnsi="楷体" w:eastAsia="楷体" w:cs="楷体"/>
                <w:sz w:val="22"/>
              </w:rPr>
              <w:t>非标准化债权类资产</w:t>
            </w:r>
          </w:p>
        </w:tc>
        <w:tc>
          <w:tcPr>
            <w:tcW w:w="2235" w:type="dxa"/>
          </w:tcPr>
          <w:p>
            <w:pPr>
              <w:jc w:val="center"/>
              <w:rPr>
                <w:rFonts w:hint="eastAsia" w:ascii="楷体" w:hAnsi="楷体" w:eastAsia="楷体" w:cs="楷体"/>
                <w:sz w:val="22"/>
              </w:rPr>
            </w:pPr>
            <w:r>
              <w:rPr>
                <w:rFonts w:hint="eastAsia" w:ascii="楷体" w:hAnsi="楷体" w:eastAsia="楷体" w:cs="楷体"/>
                <w:sz w:val="22"/>
              </w:rPr>
              <w:t>50,266,301.37</w:t>
            </w:r>
          </w:p>
        </w:tc>
        <w:tc>
          <w:tcPr>
            <w:tcW w:w="1800" w:type="dxa"/>
          </w:tcPr>
          <w:p>
            <w:pPr>
              <w:jc w:val="center"/>
              <w:rPr>
                <w:rFonts w:hint="eastAsia" w:ascii="楷体" w:hAnsi="楷体" w:eastAsia="楷体" w:cs="楷体"/>
                <w:sz w:val="22"/>
              </w:rPr>
            </w:pPr>
            <w:r>
              <w:rPr>
                <w:rFonts w:hint="eastAsia" w:ascii="楷体" w:hAnsi="楷体" w:eastAsia="楷体" w:cs="楷体"/>
                <w:sz w:val="22"/>
              </w:rPr>
              <w:t>9.16%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杭州工商信托-玖盈112号-湖州经开-第一期</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50,056,695.05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9.12%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杭州工商信托-玖盈112号-慈溪国资</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50,051,954.18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9.12%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国投泰康-沐远165号-蚂蚁花呗</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40,765,589.04</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7.43%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杭州工商信托-玖盈111号-黄岩国资-第二期</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20,034,402.15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9,470,120.90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24江开01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3,264,680.44</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22工商银行二级01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3,018,299.29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24诸建02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2,784,463.47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22农业银行二级01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2,588,498.51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0.47%</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慈溪市国有资产投资控股有限公司</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杭州工商信托-玖盈112号-慈溪国资</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147</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50,000,000.00</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按季付息，到期一次还本</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投资信托计划产品</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京东导流，信托自主审核通过的借款人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华鑫信托-惠盈格昱25号-京东白条取现</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147</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50,000,000.00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循环期按季付息不还本，摊还期每月过手摊还本息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湖州经开投资发展集团有限公司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杭州工商信托-玖盈112号-湖州经开-第一期</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147</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50,000,000.00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蚂蚁个人消费授信付款资产借款人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国投泰康-沐远165号-蚂蚁花呗</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146</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40,000,000.00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循环期不还本不付息，摊还期按月过手摊还本息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台州市黄岩国有资本投资运营集团有限公司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杭州工商信托-玖盈111号-黄岩国资-第二期</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147</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京东导流，信托自主审核通过的借款人</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慈溪市国有资产投资控股有限公司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2003-06-25</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800,000,000.00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受慈溪市国有资产管理办公室委托、对所属国有资产投资、融资、经营、管理和监督(未经金融等监管部门批准不得从事吸收存款、融资担保、代客理财、向社会公众集(融)资等金融业务)。(依法须经批准的项目,经相关部门批准后方可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蚂蚁个人消费授信付款资产借款人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台州市黄岩国有资本投资运营集团有限公司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2001-11-02</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2,288,880,000.00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一般项目：股权投资；企业管理；创业投资（限投资未上市企业）；融资咨询服务；土地整治服务；建筑材料销售（除依法须经批准的项目外，凭营业执照依法自主开展经营活动）。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湖州经开投资发展集团有限公司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2013-06-24</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城市建设资金调度管理，城市基础设施、配套设施建设和社会公益设施的建设、开发、经营、管理，房地产综合开发经营，物业管理，中心城区改造；环太湖水利、农业旅游开发。城市建设用地前期开发及办理土地受让事项；市场运行管理和服务，市场及学校用房的建设开发、经营、存量资产的出租及管理、停车场经营。（依法须经批准的项目，经相关部门批准后方可开展经营活动）</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197,963.84</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51,928.82</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514,293,858.00</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514,293,858.00</w:t>
            </w:r>
          </w:p>
        </w:tc>
      </w:tr>
    </w:tbl>
    <w:p>
      <w:pPr>
        <w:pStyle w:val="14"/>
        <w:rPr>
          <w:rFonts w:hint="eastAsia" w:ascii="楷体" w:hAnsi="楷体" w:eastAsia="楷体" w:cs="楷体"/>
        </w:rPr>
      </w:pPr>
    </w:p>
    <w:p>
      <w:pPr>
        <w:pStyle w:val="2"/>
        <w:rPr>
          <w:rFonts w:hint="eastAsia" w:ascii="楷体" w:hAnsi="楷体" w:eastAsia="楷体" w:cs="楷体"/>
          <w:spacing w:val="0"/>
        </w:rPr>
      </w:pPr>
      <w:r>
        <w:rPr>
          <w:rFonts w:hint="eastAsia" w:ascii="楷体" w:hAnsi="楷体" w:eastAsia="楷体" w:cs="楷体"/>
          <w:spacing w:val="0"/>
        </w:rPr>
        <w:t>四</w:t>
      </w:r>
      <w:r>
        <w:rPr>
          <w:rFonts w:hint="eastAsia" w:ascii="楷体" w:hAnsi="楷体" w:cs="楷体"/>
          <w:spacing w:val="0"/>
          <w:lang w:eastAsia="zh-CN"/>
        </w:rPr>
        <w:t>、</w:t>
      </w:r>
      <w:r>
        <w:rPr>
          <w:rFonts w:hint="eastAsia" w:ascii="楷体" w:hAnsi="楷体" w:eastAsia="楷体" w:cs="楷体"/>
          <w:spacing w:val="0"/>
        </w:rPr>
        <w:t>投资运作情况</w:t>
      </w:r>
    </w:p>
    <w:p>
      <w:pPr>
        <w:pStyle w:val="2"/>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1、运作期回顾</w:t>
      </w:r>
    </w:p>
    <w:p>
      <w:pPr>
        <w:ind w:firstLine="420" w:firstLineChars="200"/>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本理财产品以固收类资产和非标资产为主，主要配置优质非标与中高等级债券，通过对宏观经济、市场利率、债券市场需求供给的变化、信用风险等进行充分研判，主动构建并调整债券资产投资组合，力争获取超额收益。上半年债券市场整体呈震荡趋势，产品整体表现较为稳健，后续有望继续提供长期稳健收益。</w:t>
      </w:r>
    </w:p>
    <w:p>
      <w:pPr>
        <w:ind w:firstLine="420" w:firstLineChars="200"/>
        <w:rPr>
          <w:rFonts w:hint="eastAsia" w:ascii="楷体" w:hAnsi="楷体" w:eastAsia="楷体" w:cs="宋体"/>
          <w:b w:val="0"/>
          <w:bCs/>
          <w:kern w:val="0"/>
          <w:sz w:val="21"/>
          <w:szCs w:val="21"/>
          <w:lang w:val="en-US" w:eastAsia="zh-CN" w:bidi="ar-SA"/>
        </w:rPr>
      </w:pPr>
    </w:p>
    <w:p>
      <w:pPr>
        <w:pStyle w:val="2"/>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2、后市展望及下阶段投资策略</w:t>
      </w:r>
    </w:p>
    <w:p>
      <w:pPr>
        <w:ind w:firstLine="420" w:firstLineChars="200"/>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基本面方面，上半年我国经济顶住压力实现较高增长，GDP同比增速录得5.3%，其中一、二季度GDP分别增长5.4%、5.2%。上半年我国社零额累计实现5%的增长，较一季度增加1.5个百分点，且高于去年全年水平，消费整体仍延续改善的趋势。新动能持续形成高贡献，外需相关行业生产边际修复，但与内需挂钩的上游工业生产仍然偏弱。债市方面，2025年上半年债市呈高波动、重交易的特征，债券收益率曲线平坦化。债市收益率先上后下。年初十年国债收益率围绕1.6%左右震荡。2月以来，央行流动性紧缩叠加股市快速上涨等因素，十年期国债收益率快速上升至1.88%左右。二季度在中美贸易摩擦和央行降准降息的背景下，国债收益率快速下行至1.65%左右，随后维持震荡态势直到季末。展望下半年，在股市强势上涨及风险偏好上升的背景下，债市预计延续震荡格局。但从近期国内基本面数据来看，三季度以来的内部变化弱于预期，需求修复转弱。后续若股市进入登顶回落期，风险偏好反转，债市或走向修复。</w:t>
      </w:r>
    </w:p>
    <w:p>
      <w:pPr>
        <w:ind w:firstLine="420" w:firstLineChars="200"/>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hint="eastAsia" w:ascii="楷体" w:hAnsi="楷体" w:eastAsia="楷体" w:cs="宋体"/>
          <w:b w:val="0"/>
          <w:bCs/>
          <w:kern w:val="0"/>
          <w:sz w:val="21"/>
          <w:szCs w:val="21"/>
          <w:lang w:val="en-US" w:eastAsia="zh-CN" w:bidi="ar-SA"/>
        </w:rPr>
      </w:pPr>
    </w:p>
    <w:p>
      <w:pPr>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3、流动性风险分析</w:t>
      </w:r>
    </w:p>
    <w:p>
      <w:pPr>
        <w:ind w:firstLine="420" w:firstLineChars="200"/>
        <w:rPr>
          <w:rFonts w:hint="eastAsia" w:ascii="楷体" w:hAnsi="楷体" w:eastAsia="楷体" w:cs="楷体"/>
          <w:spacing w:val="0"/>
          <w:sz w:val="21"/>
          <w:szCs w:val="21"/>
        </w:rPr>
      </w:pPr>
      <w:r>
        <w:rPr>
          <w:rFonts w:hint="eastAsia" w:ascii="楷体" w:hAnsi="楷体" w:eastAsia="楷体" w:cs="宋体"/>
          <w:b w:val="0"/>
          <w:bCs/>
          <w:kern w:val="0"/>
          <w:sz w:val="21"/>
          <w:szCs w:val="21"/>
          <w:lang w:val="en-US" w:eastAsia="zh-CN" w:bidi="ar-SA"/>
        </w:rPr>
        <w:t>本产品持仓优质非标资产与中高等级债券，抗市场波动能力较强，通过组合久期管理、流动性指标监测等多项措施持续加强久期与流动性管理，有效控制产品的流动性风险。</w:t>
      </w:r>
      <w:bookmarkStart w:id="1" w:name="_GoBack"/>
      <w:bookmarkEnd w:id="1"/>
    </w:p>
    <w:p>
      <w:pPr>
        <w:pStyle w:val="4"/>
        <w:spacing w:before="0" w:line="240" w:lineRule="auto"/>
        <w:ind w:left="0" w:right="0" w:firstLine="0" w:firstLineChars="0"/>
        <w:rPr>
          <w:rFonts w:hint="eastAsia" w:ascii="楷体" w:hAnsi="楷体" w:eastAsia="楷体" w:cs="楷体"/>
          <w:spacing w:val="9"/>
          <w:sz w:val="21"/>
        </w:rPr>
      </w:pPr>
    </w:p>
    <w:p>
      <w:pPr>
        <w:pStyle w:val="2"/>
        <w:rPr>
          <w:rFonts w:ascii="楷体" w:hAnsi="楷体"/>
          <w:sz w:val="24"/>
          <w:szCs w:val="24"/>
        </w:rPr>
      </w:pPr>
      <w:r>
        <w:rPr>
          <w:rFonts w:hint="eastAsia" w:ascii="楷体" w:hAnsi="楷体"/>
          <w:sz w:val="24"/>
          <w:szCs w:val="24"/>
        </w:rPr>
        <w:t>五</w:t>
      </w:r>
      <w:r>
        <w:rPr>
          <w:rFonts w:hint="eastAsia" w:ascii="楷体" w:hAnsi="楷体"/>
          <w:sz w:val="24"/>
          <w:szCs w:val="24"/>
          <w:lang w:eastAsia="zh-CN"/>
        </w:rPr>
        <w:t>、</w:t>
      </w:r>
      <w:r>
        <w:rPr>
          <w:rFonts w:hint="eastAsia" w:ascii="楷体" w:hAnsi="楷体"/>
          <w:sz w:val="24"/>
          <w:szCs w:val="24"/>
        </w:rPr>
        <w:t>托管人报告</w:t>
      </w:r>
    </w:p>
    <w:p>
      <w:pPr>
        <w:ind w:firstLine="420" w:firstLineChars="200"/>
        <w:jc w:val="left"/>
        <w:rPr>
          <w:rFonts w:hint="eastAsia" w:ascii="楷体" w:hAnsi="楷体" w:eastAsia="楷体" w:cs="楷体"/>
          <w:spacing w:val="9"/>
          <w:sz w:val="21"/>
          <w:szCs w:val="21"/>
        </w:rPr>
      </w:pPr>
      <w:r>
        <w:rPr>
          <w:rFonts w:hint="eastAsia" w:ascii="楷体" w:hAnsi="楷体" w:eastAsia="楷体"/>
          <w:bCs/>
          <w:kern w:val="0"/>
          <w:sz w:val="21"/>
          <w:szCs w:val="21"/>
        </w:rPr>
        <w:t>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AEB125"/>
    <w:multiLevelType w:val="singleLevel"/>
    <w:tmpl w:val="8CAEB125"/>
    <w:lvl w:ilvl="0" w:tentative="0">
      <w:start w:val="3"/>
      <w:numFmt w:val="chineseCounting"/>
      <w:suff w:val="nothing"/>
      <w:lvlText w:val="（%1）"/>
      <w:lvlJc w:val="left"/>
      <w:rPr>
        <w:rFonts w:hint="eastAsia"/>
      </w:rPr>
    </w:lvl>
  </w:abstractNum>
  <w:abstractNum w:abstractNumId="1">
    <w:nsid w:val="5FFFB1A7"/>
    <w:multiLevelType w:val="singleLevel"/>
    <w:tmpl w:val="5FFFB1A7"/>
    <w:lvl w:ilvl="0" w:tentative="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6D547BEE"/>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e70aa40-6768-4d49-8681-bcda3652664d}">
  <ds:schemaRefs/>
</ds:datastoreItem>
</file>

<file path=customXml/itemProps3.xml><?xml version="1.0" encoding="utf-8"?>
<ds:datastoreItem xmlns:ds="http://schemas.openxmlformats.org/officeDocument/2006/customXml" ds:itemID="{6b29026c-96e5-4ad1-8806-585b1ee5e885}">
  <ds:schemaRefs/>
</ds:datastoreItem>
</file>

<file path=customXml/itemProps4.xml><?xml version="1.0" encoding="utf-8"?>
<ds:datastoreItem xmlns:ds="http://schemas.openxmlformats.org/officeDocument/2006/customXml" ds:itemID="{62e5d259-67f9-4e1c-a0b3-0aa3eb646029}">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0</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2025-08-25T12:03:17Z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938A9BAF47534C5C85D88733F74C07E5</vt:lpwstr>
  </property>
</Properties>
</file>