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苏银理财恒源封闭债权144期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苏银理财恒源封闭债权144期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2024年12月03日</w:t>
      </w:r>
      <w:r>
        <w:rPr>
          <w:rFonts w:hint="eastAsia" w:ascii="楷体" w:hAnsi="楷体" w:eastAsia="楷体" w:cs="楷体"/>
        </w:rPr>
        <w:t>成立，于</w:t>
      </w:r>
      <w:r>
        <w:rPr>
          <w:rFonts w:hint="eastAsia" w:ascii="楷体" w:hAnsi="楷体" w:eastAsia="楷体" w:cs="楷体"/>
          <w:spacing w:val="-7"/>
        </w:rPr>
        <w:t>2024年12月03日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苏银理财恒源封闭债权144期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Z7003124000148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281,982,836.00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286,690,036.03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31000188000629216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286,900,646.16</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100.07%</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苏银理财恒源封闭债权144期13月A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1.016752</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1.016752</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苏银理财恒源封闭债权144期13月B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1.016174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1.016174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苏银理财恒源封闭债权144期13月C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1.015017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1.015017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苏银理财恒源封闭债权144期13月D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1.017043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1.017043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1.00%</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1.00%</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99.00%</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上海信托-上信泰兴城发集团</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50,085,788.28</w:t>
            </w:r>
          </w:p>
        </w:tc>
        <w:tc>
          <w:tcPr>
            <w:tcW w:w="1800" w:type="dxa"/>
          </w:tcPr>
          <w:p>
            <w:pPr>
              <w:jc w:val="center"/>
              <w:rPr>
                <w:rFonts w:hint="eastAsia" w:ascii="楷体" w:hAnsi="楷体" w:eastAsia="楷体" w:cs="楷体"/>
                <w:sz w:val="22"/>
              </w:rPr>
            </w:pPr>
            <w:r>
              <w:rPr>
                <w:rFonts w:hint="eastAsia" w:ascii="楷体" w:hAnsi="楷体" w:eastAsia="楷体" w:cs="楷体"/>
                <w:sz w:val="22"/>
              </w:rPr>
              <w:t>17.12%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重庆信托-融源2号-南通国投</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40,050,996.11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13.69%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中粮信托-栗泽1号-京东金条</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28,050,967.67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9.59%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中粮信托-谷丰121号-蚂蚁花呗-第二期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10,053,095.88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4,245,662.69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3,486,029.69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24特别国债06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3,378,166.14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25交通银行CD006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1,879,550.68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1,561,075.73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24中信银行永续债01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1,291,407.10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0.44%</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泰兴市城市投资发展集团有限公司</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上海信托-上信泰兴城发集团</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175</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50,000,000.00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按季付息 到期一次性还本</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南通国有资产投资控股有限公司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重庆信托-融源2号-南通国投</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174</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40,000,000.00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中粮信托-栗泽1号-京东金条</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175</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28,000,000.00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循环期按季付息不还本，摊还期每月过手摊还本息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中粮信托-谷丰121号-蚂蚁花呗-第二期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165</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京东导流、信托自主审核通过的借款人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泰兴市城市投资发展集团有限公司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2019-12-16</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市政建设工程、城市道路、交通设施、监控设施、交通信号灯、污水管网、农村水利设施、垃圾填埋、基础设施工程建设开发，承接各类工程代建服务；城市管理服务；做好投资供水、供气、城区保洁、垃圾处置、环卫设施采购、规划编制设计、道路绿化、智慧城市建设、城区乡镇电费服务；土地一级市场整理开发、房地产项目施工及销售、房屋拆除工程施工。（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南通国有资产投资控股有限公司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2003-03-30</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资本运营、产权管理;接受市政府委托承担城市建设及政府性投资项目的投资、运营和管理服务;统筹安排财政拨付的专项资金;受国资委委托履行出资人职能。建筑工程项目管理;土地一级开发;房地产开发;水利工程项目管理;基础设施建设管理;土地整理修复(依法须经批准的项目,经相关部门批准后方可开展经营活动)</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103,799.50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28,347.74</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281,982,836.00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281,982,836.00</w:t>
            </w:r>
          </w:p>
        </w:tc>
      </w:tr>
    </w:tbl>
    <w:p>
      <w:pPr>
        <w:pStyle w:val="14"/>
        <w:rPr>
          <w:rFonts w:hint="eastAsia" w:ascii="楷体" w:hAnsi="楷体" w:eastAsia="楷体" w:cs="楷体"/>
        </w:rPr>
      </w:pPr>
    </w:p>
    <w:p>
      <w:pPr>
        <w:pStyle w:val="2"/>
        <w:rPr>
          <w:rFonts w:hint="eastAsia" w:ascii="楷体" w:hAnsi="楷体" w:eastAsia="楷体" w:cs="楷体"/>
          <w:spacing w:val="0"/>
        </w:rPr>
      </w:pPr>
      <w:r>
        <w:rPr>
          <w:rFonts w:hint="eastAsia" w:ascii="楷体" w:hAnsi="楷体" w:eastAsia="楷体" w:cs="楷体"/>
          <w:spacing w:val="0"/>
        </w:rPr>
        <w:t>四</w:t>
      </w:r>
      <w:r>
        <w:rPr>
          <w:rFonts w:hint="eastAsia" w:ascii="楷体" w:hAnsi="楷体" w:cs="楷体"/>
          <w:spacing w:val="0"/>
          <w:lang w:eastAsia="zh-CN"/>
        </w:rPr>
        <w:t>、</w:t>
      </w:r>
      <w:r>
        <w:rPr>
          <w:rFonts w:hint="eastAsia" w:ascii="楷体" w:hAnsi="楷体" w:eastAsia="楷体" w:cs="楷体"/>
          <w:spacing w:val="0"/>
        </w:rPr>
        <w:t>投资运作情况</w:t>
      </w: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1、运作期回顾</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趋势，产品整体表现较为稳健，后续有望继续提供长期稳健收益。</w:t>
      </w:r>
    </w:p>
    <w:p>
      <w:pPr>
        <w:ind w:firstLine="420" w:firstLineChars="200"/>
        <w:rPr>
          <w:rFonts w:hint="eastAsia" w:ascii="楷体" w:hAnsi="楷体" w:eastAsia="楷体" w:cs="宋体"/>
          <w:b w:val="0"/>
          <w:bCs/>
          <w:kern w:val="0"/>
          <w:sz w:val="21"/>
          <w:szCs w:val="21"/>
          <w:lang w:val="en-US" w:eastAsia="zh-CN" w:bidi="ar-SA"/>
        </w:rPr>
      </w:pP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2、后市展望及下阶段投资策略</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后续若股市进入登顶回落期，风险偏好反转，债市或走向修复。</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宋体"/>
          <w:b w:val="0"/>
          <w:bCs/>
          <w:kern w:val="0"/>
          <w:sz w:val="21"/>
          <w:szCs w:val="21"/>
          <w:lang w:val="en-US" w:eastAsia="zh-CN" w:bidi="ar-SA"/>
        </w:rPr>
      </w:pPr>
    </w:p>
    <w:p>
      <w:pPr>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3、流动性风险分析</w:t>
      </w:r>
    </w:p>
    <w:p>
      <w:pPr>
        <w:ind w:firstLine="420" w:firstLineChars="200"/>
        <w:rPr>
          <w:rFonts w:hint="eastAsia" w:ascii="楷体" w:hAnsi="楷体" w:eastAsia="楷体" w:cs="楷体"/>
          <w:spacing w:val="0"/>
          <w:sz w:val="21"/>
          <w:szCs w:val="21"/>
        </w:rPr>
      </w:pPr>
      <w:r>
        <w:rPr>
          <w:rFonts w:hint="eastAsia" w:ascii="楷体" w:hAnsi="楷体" w:eastAsia="楷体" w:cs="宋体"/>
          <w:b w:val="0"/>
          <w:bCs/>
          <w:kern w:val="0"/>
          <w:sz w:val="21"/>
          <w:szCs w:val="21"/>
          <w:lang w:val="en-US" w:eastAsia="zh-CN" w:bidi="ar-SA"/>
        </w:rPr>
        <w:t>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pStyle w:val="4"/>
        <w:spacing w:before="0" w:line="240" w:lineRule="auto"/>
        <w:ind w:left="0" w:right="0" w:firstLine="0" w:firstLineChars="0"/>
        <w:rPr>
          <w:rFonts w:hint="eastAsia" w:ascii="楷体" w:hAnsi="楷体" w:eastAsia="楷体" w:cs="楷体"/>
          <w:spacing w:val="9"/>
          <w:sz w:val="21"/>
        </w:rPr>
      </w:pPr>
    </w:p>
    <w:p>
      <w:pPr>
        <w:pStyle w:val="2"/>
        <w:rPr>
          <w:rFonts w:ascii="楷体" w:hAnsi="楷体"/>
          <w:sz w:val="24"/>
          <w:szCs w:val="24"/>
        </w:rPr>
      </w:pPr>
      <w:r>
        <w:rPr>
          <w:rFonts w:hint="eastAsia" w:ascii="楷体" w:hAnsi="楷体"/>
          <w:sz w:val="24"/>
          <w:szCs w:val="24"/>
        </w:rPr>
        <w:t>五</w:t>
      </w:r>
      <w:r>
        <w:rPr>
          <w:rFonts w:hint="eastAsia" w:ascii="楷体" w:hAnsi="楷体"/>
          <w:sz w:val="24"/>
          <w:szCs w:val="24"/>
          <w:lang w:eastAsia="zh-CN"/>
        </w:rPr>
        <w:t>、</w:t>
      </w:r>
      <w:r>
        <w:rPr>
          <w:rFonts w:hint="eastAsia" w:ascii="楷体" w:hAnsi="楷体"/>
          <w:sz w:val="24"/>
          <w:szCs w:val="24"/>
        </w:rPr>
        <w:t>托管人报告</w:t>
      </w:r>
    </w:p>
    <w:p>
      <w:pPr>
        <w:ind w:firstLine="420" w:firstLineChars="200"/>
        <w:jc w:val="left"/>
        <w:rPr>
          <w:rFonts w:hint="eastAsia" w:ascii="楷体" w:hAnsi="楷体" w:eastAsia="楷体" w:cs="楷体"/>
          <w:spacing w:val="9"/>
          <w:sz w:val="21"/>
          <w:szCs w:val="21"/>
        </w:rPr>
      </w:pPr>
      <w:r>
        <w:rPr>
          <w:rFonts w:hint="eastAsia" w:ascii="楷体" w:hAnsi="楷体" w:eastAsia="楷体"/>
          <w:bCs/>
          <w:kern w:val="0"/>
          <w:sz w:val="21"/>
          <w:szCs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E89278"/>
    <w:multiLevelType w:val="singleLevel"/>
    <w:tmpl w:val="F0E89278"/>
    <w:lvl w:ilvl="0" w:tentative="0">
      <w:start w:val="3"/>
      <w:numFmt w:val="decimal"/>
      <w:suff w:val="nothing"/>
      <w:lvlText w:val="%1）"/>
      <w:lvlJc w:val="left"/>
    </w:lvl>
  </w:abstractNum>
  <w:abstractNum w:abstractNumId="1">
    <w:nsid w:val="1C257C7B"/>
    <w:multiLevelType w:val="singleLevel"/>
    <w:tmpl w:val="1C257C7B"/>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17AB7901"/>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9cf125-54cc-4a3d-8a7e-1cfe181309e0}">
  <ds:schemaRefs/>
</ds:datastoreItem>
</file>

<file path=customXml/itemProps3.xml><?xml version="1.0" encoding="utf-8"?>
<ds:datastoreItem xmlns:ds="http://schemas.openxmlformats.org/officeDocument/2006/customXml" ds:itemID="{92b90cb1-3273-44dd-a4f1-0b21281ee20d}">
  <ds:schemaRefs/>
</ds:datastoreItem>
</file>

<file path=customXml/itemProps4.xml><?xml version="1.0" encoding="utf-8"?>
<ds:datastoreItem xmlns:ds="http://schemas.openxmlformats.org/officeDocument/2006/customXml" ds:itemID="{84a6cd34-1724-49c3-b901-0cb098bf14cd}">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2025-08-25T12:05:40Z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1B7E67A111FF4B268587D7EECB92E3FB</vt:lpwstr>
  </property>
</Properties>
</file>