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苏银理财恒源封闭债权142期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苏银理财恒源封闭债权142期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2024年11月13日</w:t>
      </w:r>
      <w:r>
        <w:rPr>
          <w:rFonts w:hint="eastAsia" w:ascii="楷体" w:hAnsi="楷体" w:eastAsia="楷体" w:cs="楷体"/>
        </w:rPr>
        <w:t>成立，于</w:t>
      </w:r>
      <w:r>
        <w:rPr>
          <w:rFonts w:hint="eastAsia" w:ascii="楷体" w:hAnsi="楷体" w:eastAsia="楷体" w:cs="楷体"/>
          <w:spacing w:val="-7"/>
        </w:rPr>
        <w:t>2024年11月13日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苏银理财恒源封闭债权142期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Z7003124000151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209,719,852.00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213,687,253.63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31000188000628747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213,982,697.79</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100.14%</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苏银理财恒源封闭债权142期13月A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1.018943</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1.018943</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苏银理财恒源封闭债权142期13月B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1.018308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1.018308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苏银理财恒源封闭债权142期13月C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1.017039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1.017039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苏银理财恒源封闭债权142期13月D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1.019261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1.019261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3.11%</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96.89%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3.11%</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96.89%</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国投泰康-沐远165号-蚂蚁花呗</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32,612,471.23</w:t>
            </w:r>
          </w:p>
        </w:tc>
        <w:tc>
          <w:tcPr>
            <w:tcW w:w="1800" w:type="dxa"/>
          </w:tcPr>
          <w:p>
            <w:pPr>
              <w:jc w:val="center"/>
              <w:rPr>
                <w:rFonts w:hint="eastAsia" w:ascii="楷体" w:hAnsi="楷体" w:eastAsia="楷体" w:cs="楷体"/>
                <w:sz w:val="22"/>
              </w:rPr>
            </w:pPr>
            <w:r>
              <w:rPr>
                <w:rFonts w:hint="eastAsia" w:ascii="楷体" w:hAnsi="楷体" w:eastAsia="楷体" w:cs="楷体"/>
                <w:sz w:val="22"/>
              </w:rPr>
              <w:t>14.62%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杭州工商信托-玖盈112号-慈溪国资</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20,020,781.67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8.97%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中诚信托-苏诚9号-淮阴产投-2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15,022,152.60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6.73%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8,265,688.92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25淮经03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1,253,920.44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25苏通01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1,248,364.35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G25徐铁1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1,240,725.70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24江开01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1,156,024.31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25东阳01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1,135,210.33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25连金01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1,134,839.44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0.51%</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蚂蚁个人消费授信付款资产借款人</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国投泰康-沐远165号-蚂蚁花呗</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146</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32,000,000.00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慈溪市国有资产投资控股有限公司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杭州工商信托-玖盈112号-慈溪国资</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147</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江苏淮阴城市产业投资集团有限公司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中诚信托-苏诚9号-淮阴产投-2</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154</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江苏淮阴城市产业投资集团有限公司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2016-05-17</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5,000,000,000.00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许可项目：旅游业务；餐饮服务；建设工程施工；建设工程设计；建筑物拆除作业（爆破作业除外）；房地产开发经营；水产养殖；自来水生产与供应；城市生活垃圾经营性服务；餐厨垃圾处理（依法须经批准的项目，经相关部门批准后方可开展经营活动，具体经营项目以审批结果为准）一般项目：创业投资（限投资未上市企业）；游览景区管理；名胜风景区管理；物业管理；组织文化艺术交流活动；会议及展览服务；市政设施管理；土地整治服务；建筑材料销售；技术推广服务；园林绿化工程施工；土石方工程施工；城市绿化管理；工程管理服务；房屋拆迁服务；农业专业及辅助性活动；土地使用权租赁；工程技术服务（规划管理、勘察、设计、监理除外）；互联网数据服务；休闲观光活动；污水处理及其再生利用；水污染治理；水环境污染防治服务；停车场服务；企业管理；租赁服务（不含许可类租赁服务）；建筑工程机械与设备租赁；殡葬服务；殡葬设施经营；殡仪用品销售；谷物种植；豆类种植；薯类种植；蔬菜种植；食用菌种植；花卉种植；水果种植；坚果种植；中草药种植；草种植（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慈溪市国有资产投资控股有限公司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2003-06-25</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800,000,000.00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受慈溪市国有资产管理办公室委托、对所属国有资产投资、融资、经营、管理和监督(未经金融等监管部门批准不得从事吸收存款、融资担保、代客理财、向社会公众集(融)资等金融业务)。(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83,755.53</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21,137.04</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209,719,852.00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209,719,852.00</w:t>
            </w:r>
          </w:p>
        </w:tc>
      </w:tr>
    </w:tbl>
    <w:p>
      <w:pPr>
        <w:pStyle w:val="14"/>
        <w:rPr>
          <w:rFonts w:hint="eastAsia" w:ascii="楷体" w:hAnsi="楷体" w:eastAsia="楷体" w:cs="楷体"/>
        </w:rPr>
      </w:pPr>
    </w:p>
    <w:p>
      <w:pPr>
        <w:pStyle w:val="2"/>
        <w:rPr>
          <w:rFonts w:hint="eastAsia" w:ascii="楷体" w:hAnsi="楷体" w:eastAsia="楷体" w:cs="楷体"/>
          <w:spacing w:val="0"/>
        </w:rPr>
      </w:pPr>
      <w:r>
        <w:rPr>
          <w:rFonts w:hint="eastAsia" w:ascii="楷体" w:hAnsi="楷体" w:eastAsia="楷体" w:cs="楷体"/>
          <w:spacing w:val="0"/>
        </w:rPr>
        <w:t>四</w:t>
      </w:r>
      <w:r>
        <w:rPr>
          <w:rFonts w:hint="eastAsia" w:ascii="楷体" w:hAnsi="楷体" w:cs="楷体"/>
          <w:spacing w:val="0"/>
          <w:lang w:eastAsia="zh-CN"/>
        </w:rPr>
        <w:t>、</w:t>
      </w:r>
      <w:r>
        <w:rPr>
          <w:rFonts w:hint="eastAsia" w:ascii="楷体" w:hAnsi="楷体" w:eastAsia="楷体" w:cs="楷体"/>
          <w:spacing w:val="0"/>
        </w:rPr>
        <w:t>投资运作情况</w:t>
      </w: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1、运作期回顾</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趋势，产品整体表现较为稳健，后续有望继续提供长期稳健收益。</w:t>
      </w:r>
    </w:p>
    <w:p>
      <w:pPr>
        <w:ind w:firstLine="420" w:firstLineChars="200"/>
        <w:rPr>
          <w:rFonts w:hint="eastAsia" w:ascii="楷体" w:hAnsi="楷体" w:eastAsia="楷体" w:cs="宋体"/>
          <w:b w:val="0"/>
          <w:bCs/>
          <w:kern w:val="0"/>
          <w:sz w:val="21"/>
          <w:szCs w:val="21"/>
          <w:lang w:val="en-US" w:eastAsia="zh-CN" w:bidi="ar-SA"/>
        </w:rPr>
      </w:pP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2、后市展望及下阶段投资策略</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后续若股市进入登顶回落期，风险偏好反转，债市或走向修复。</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宋体"/>
          <w:b w:val="0"/>
          <w:bCs/>
          <w:kern w:val="0"/>
          <w:sz w:val="21"/>
          <w:szCs w:val="21"/>
          <w:lang w:val="en-US" w:eastAsia="zh-CN" w:bidi="ar-SA"/>
        </w:rPr>
      </w:pPr>
    </w:p>
    <w:p>
      <w:pPr>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3、流动性风险分析</w:t>
      </w:r>
    </w:p>
    <w:p>
      <w:pPr>
        <w:ind w:firstLine="420" w:firstLineChars="200"/>
        <w:rPr>
          <w:rFonts w:hint="eastAsia" w:ascii="楷体" w:hAnsi="楷体" w:eastAsia="楷体" w:cs="楷体"/>
          <w:spacing w:val="0"/>
          <w:sz w:val="21"/>
          <w:szCs w:val="21"/>
        </w:rPr>
      </w:pPr>
      <w:r>
        <w:rPr>
          <w:rFonts w:hint="eastAsia" w:ascii="楷体" w:hAnsi="楷体" w:eastAsia="楷体" w:cs="宋体"/>
          <w:b w:val="0"/>
          <w:bCs/>
          <w:kern w:val="0"/>
          <w:sz w:val="21"/>
          <w:szCs w:val="21"/>
          <w:lang w:val="en-US" w:eastAsia="zh-CN" w:bidi="ar-SA"/>
        </w:rPr>
        <w:t>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pStyle w:val="4"/>
        <w:spacing w:before="0" w:line="240" w:lineRule="auto"/>
        <w:ind w:left="0" w:right="0" w:firstLine="0" w:firstLineChars="0"/>
        <w:rPr>
          <w:rFonts w:hint="eastAsia" w:ascii="楷体" w:hAnsi="楷体" w:eastAsia="楷体" w:cs="楷体"/>
          <w:spacing w:val="9"/>
          <w:sz w:val="21"/>
        </w:rPr>
      </w:pPr>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jc w:val="left"/>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09FD3E"/>
    <w:multiLevelType w:val="singleLevel"/>
    <w:tmpl w:val="0709FD3E"/>
    <w:lvl w:ilvl="0" w:tentative="0">
      <w:start w:val="3"/>
      <w:numFmt w:val="chineseCounting"/>
      <w:suff w:val="nothing"/>
      <w:lvlText w:val="（%1）"/>
      <w:lvlJc w:val="left"/>
      <w:rPr>
        <w:rFonts w:hint="eastAsia"/>
      </w:rPr>
    </w:lvl>
  </w:abstractNum>
  <w:abstractNum w:abstractNumId="1">
    <w:nsid w:val="0CEF100B"/>
    <w:multiLevelType w:val="singleLevel"/>
    <w:tmpl w:val="0CEF100B"/>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2A37665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824b7-3248-424e-8dd6-8a9188120311}">
  <ds:schemaRefs/>
</ds:datastoreItem>
</file>

<file path=customXml/itemProps3.xml><?xml version="1.0" encoding="utf-8"?>
<ds:datastoreItem xmlns:ds="http://schemas.openxmlformats.org/officeDocument/2006/customXml" ds:itemID="{1fe4be2c-8956-4cf4-8d56-049320be25af}">
  <ds:schemaRefs/>
</ds:datastoreItem>
</file>

<file path=customXml/itemProps4.xml><?xml version="1.0" encoding="utf-8"?>
<ds:datastoreItem xmlns:ds="http://schemas.openxmlformats.org/officeDocument/2006/customXml" ds:itemID="{1f617c74-0590-4b2b-a355-c32cc6c16fe2}">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2025-08-25T12:04:21Z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99C06D86F4C24C4A8BDD3DA771F06728</vt:lpwstr>
  </property>
</Properties>
</file>